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62A" w14:textId="35143D86" w:rsidR="005975D7" w:rsidRPr="009A65C4" w:rsidRDefault="005975D7" w:rsidP="00095E80">
      <w:pPr>
        <w:spacing w:after="0" w:line="240" w:lineRule="auto"/>
        <w:jc w:val="center"/>
        <w:rPr>
          <w:rFonts w:cstheme="minorHAnsi"/>
        </w:rPr>
      </w:pPr>
      <w:r w:rsidRPr="009A65C4">
        <w:rPr>
          <w:rFonts w:cstheme="minorHAnsi"/>
          <w:noProof/>
        </w:rPr>
        <w:drawing>
          <wp:anchor distT="0" distB="0" distL="114300" distR="114300" simplePos="0" relativeHeight="251659264" behindDoc="0" locked="0" layoutInCell="1" allowOverlap="1" wp14:anchorId="29A1E833" wp14:editId="0F6F0B6B">
            <wp:simplePos x="0" y="0"/>
            <wp:positionH relativeFrom="margin">
              <wp:posOffset>2066925</wp:posOffset>
            </wp:positionH>
            <wp:positionV relativeFrom="margin">
              <wp:posOffset>-257175</wp:posOffset>
            </wp:positionV>
            <wp:extent cx="1790700" cy="908685"/>
            <wp:effectExtent l="0" t="0" r="0" b="5715"/>
            <wp:wrapSquare wrapText="bothSides"/>
            <wp:docPr id="1" name="Image 1"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Bleu électr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04E0" w14:textId="77777777" w:rsidR="005975D7" w:rsidRPr="009A65C4" w:rsidRDefault="005975D7" w:rsidP="00095E80">
      <w:pPr>
        <w:spacing w:after="0" w:line="240" w:lineRule="auto"/>
        <w:jc w:val="center"/>
        <w:rPr>
          <w:rFonts w:cstheme="minorHAnsi"/>
        </w:rPr>
      </w:pPr>
    </w:p>
    <w:p w14:paraId="4F24FCDE" w14:textId="77777777" w:rsidR="005975D7" w:rsidRPr="009A65C4" w:rsidRDefault="005975D7" w:rsidP="00095E80">
      <w:pPr>
        <w:spacing w:after="0" w:line="240" w:lineRule="auto"/>
        <w:jc w:val="center"/>
        <w:rPr>
          <w:rFonts w:cstheme="minorHAnsi"/>
        </w:rPr>
      </w:pPr>
    </w:p>
    <w:p w14:paraId="5D58EFF7" w14:textId="4434B518" w:rsidR="005975D7" w:rsidRPr="009A65C4" w:rsidRDefault="005975D7" w:rsidP="00095E80">
      <w:pPr>
        <w:spacing w:after="0" w:line="240" w:lineRule="auto"/>
        <w:jc w:val="center"/>
        <w:rPr>
          <w:rFonts w:cstheme="minorHAnsi"/>
        </w:rPr>
      </w:pPr>
    </w:p>
    <w:p w14:paraId="1992D619" w14:textId="157C51C0" w:rsidR="00772C8A" w:rsidRPr="009A65C4" w:rsidRDefault="00772C8A" w:rsidP="00095E80">
      <w:pPr>
        <w:spacing w:after="0" w:line="240" w:lineRule="auto"/>
        <w:jc w:val="center"/>
        <w:rPr>
          <w:rFonts w:cstheme="minorHAnsi"/>
        </w:rPr>
      </w:pPr>
      <w:r w:rsidRPr="009A65C4">
        <w:rPr>
          <w:rFonts w:cstheme="minorHAnsi"/>
        </w:rPr>
        <w:t>Société anonyme au capital de 1 611 465,60 euros</w:t>
      </w:r>
    </w:p>
    <w:p w14:paraId="075B2F1C" w14:textId="619595D4" w:rsidR="00772C8A" w:rsidRPr="009A65C4" w:rsidRDefault="00772C8A" w:rsidP="00095E80">
      <w:pPr>
        <w:spacing w:after="0" w:line="240" w:lineRule="auto"/>
        <w:jc w:val="center"/>
        <w:rPr>
          <w:rFonts w:cstheme="minorHAnsi"/>
        </w:rPr>
      </w:pPr>
      <w:r w:rsidRPr="009A65C4">
        <w:rPr>
          <w:rFonts w:cstheme="minorHAnsi"/>
        </w:rPr>
        <w:t>Siège social : 72C route de Thionville - 57140 WOIPPY</w:t>
      </w:r>
    </w:p>
    <w:p w14:paraId="19082735" w14:textId="414C79B5" w:rsidR="00772C8A" w:rsidRPr="009A65C4" w:rsidRDefault="00772C8A" w:rsidP="00095E80">
      <w:pPr>
        <w:spacing w:after="0" w:line="240" w:lineRule="auto"/>
        <w:jc w:val="center"/>
        <w:rPr>
          <w:rFonts w:cstheme="minorHAnsi"/>
        </w:rPr>
      </w:pPr>
      <w:r w:rsidRPr="009A65C4">
        <w:rPr>
          <w:rFonts w:cstheme="minorHAnsi"/>
        </w:rPr>
        <w:t>552</w:t>
      </w:r>
      <w:r w:rsidR="0052062E" w:rsidRPr="009A65C4">
        <w:rPr>
          <w:rFonts w:cstheme="minorHAnsi"/>
        </w:rPr>
        <w:t> </w:t>
      </w:r>
      <w:r w:rsidRPr="009A65C4">
        <w:rPr>
          <w:rFonts w:cstheme="minorHAnsi"/>
        </w:rPr>
        <w:t>064</w:t>
      </w:r>
      <w:r w:rsidR="0052062E" w:rsidRPr="009A65C4">
        <w:rPr>
          <w:rFonts w:cstheme="minorHAnsi"/>
        </w:rPr>
        <w:t xml:space="preserve"> </w:t>
      </w:r>
      <w:r w:rsidRPr="009A65C4">
        <w:rPr>
          <w:rFonts w:cstheme="minorHAnsi"/>
        </w:rPr>
        <w:t>933 R.C.S. METZ</w:t>
      </w:r>
    </w:p>
    <w:p w14:paraId="68D4D9EB" w14:textId="77777777" w:rsidR="00772C8A" w:rsidRPr="009A65C4" w:rsidRDefault="00772C8A" w:rsidP="00772C8A">
      <w:pPr>
        <w:spacing w:after="0"/>
        <w:jc w:val="center"/>
        <w:rPr>
          <w:rFonts w:cstheme="minorHAnsi"/>
        </w:rPr>
      </w:pPr>
    </w:p>
    <w:p w14:paraId="7A079E9B" w14:textId="77777777" w:rsidR="005975D7" w:rsidRPr="009A65C4" w:rsidRDefault="005975D7" w:rsidP="00772C8A">
      <w:pPr>
        <w:spacing w:after="0"/>
        <w:jc w:val="center"/>
        <w:rPr>
          <w:rFonts w:cstheme="minorHAnsi"/>
        </w:rPr>
      </w:pPr>
    </w:p>
    <w:p w14:paraId="48B8F904" w14:textId="0D7836D2" w:rsidR="00772C8A" w:rsidRPr="009A65C4" w:rsidRDefault="008B7560" w:rsidP="008B7560">
      <w:pPr>
        <w:keepLines/>
        <w:spacing w:after="120" w:line="312" w:lineRule="auto"/>
        <w:jc w:val="center"/>
        <w:rPr>
          <w:rFonts w:cstheme="minorHAnsi"/>
          <w:b/>
          <w:bCs/>
          <w:color w:val="002060"/>
        </w:rPr>
      </w:pPr>
      <w:r w:rsidRPr="009A65C4">
        <w:rPr>
          <w:rFonts w:cstheme="minorHAnsi"/>
          <w:b/>
          <w:bCs/>
          <w:color w:val="002060"/>
        </w:rPr>
        <w:t xml:space="preserve">POLITIQUE DE REMUNERATION DES MANDATAIRES SOCIAUX APPROUVEE PAR L’ASSEMBLEE GENERALE </w:t>
      </w:r>
      <w:r>
        <w:rPr>
          <w:rFonts w:cstheme="minorHAnsi"/>
          <w:b/>
          <w:bCs/>
          <w:color w:val="002060"/>
        </w:rPr>
        <w:t xml:space="preserve">MIXTE </w:t>
      </w:r>
      <w:r w:rsidRPr="009A65C4">
        <w:rPr>
          <w:rFonts w:cstheme="minorHAnsi"/>
          <w:b/>
          <w:bCs/>
          <w:color w:val="002060"/>
        </w:rPr>
        <w:t>DU 14</w:t>
      </w:r>
      <w:r>
        <w:rPr>
          <w:rFonts w:cstheme="minorHAnsi"/>
          <w:b/>
          <w:bCs/>
          <w:color w:val="002060"/>
        </w:rPr>
        <w:t> </w:t>
      </w:r>
      <w:r w:rsidRPr="009A65C4">
        <w:rPr>
          <w:rFonts w:cstheme="minorHAnsi"/>
          <w:b/>
          <w:bCs/>
          <w:color w:val="002060"/>
        </w:rPr>
        <w:t>SEPTEMBRE 2023</w:t>
      </w:r>
    </w:p>
    <w:p w14:paraId="7B35F6D3" w14:textId="77777777" w:rsidR="00772C8A" w:rsidRPr="009A65C4" w:rsidRDefault="00772C8A" w:rsidP="00772C8A">
      <w:pPr>
        <w:spacing w:after="0"/>
        <w:rPr>
          <w:rFonts w:cstheme="minorHAnsi"/>
        </w:rPr>
      </w:pPr>
    </w:p>
    <w:p w14:paraId="019FC5F3" w14:textId="38824E82" w:rsidR="004E24CF" w:rsidRPr="009A65C4" w:rsidRDefault="005975D7" w:rsidP="003121A2">
      <w:pPr>
        <w:spacing w:after="120" w:line="240" w:lineRule="auto"/>
        <w:jc w:val="both"/>
        <w:rPr>
          <w:rFonts w:cstheme="minorHAnsi"/>
        </w:rPr>
      </w:pPr>
      <w:r w:rsidRPr="009A65C4">
        <w:rPr>
          <w:rFonts w:cstheme="minorHAnsi"/>
          <w:b/>
          <w:bCs/>
        </w:rPr>
        <w:t xml:space="preserve">Woippy, le </w:t>
      </w:r>
      <w:r w:rsidR="00E8478F">
        <w:rPr>
          <w:rFonts w:cstheme="minorHAnsi"/>
          <w:b/>
          <w:bCs/>
        </w:rPr>
        <w:t xml:space="preserve">10 novembre </w:t>
      </w:r>
      <w:r w:rsidRPr="009A65C4">
        <w:rPr>
          <w:rFonts w:cstheme="minorHAnsi"/>
          <w:b/>
          <w:bCs/>
        </w:rPr>
        <w:t>2023</w:t>
      </w:r>
      <w:r w:rsidR="004E24CF" w:rsidRPr="009A65C4">
        <w:rPr>
          <w:rFonts w:cstheme="minorHAnsi"/>
          <w:b/>
          <w:bCs/>
        </w:rPr>
        <w:t xml:space="preserve"> </w:t>
      </w:r>
    </w:p>
    <w:p w14:paraId="629DA9D1" w14:textId="77777777" w:rsidR="006D4E52" w:rsidRPr="009A65C4" w:rsidRDefault="006D4E52" w:rsidP="003121A2">
      <w:pPr>
        <w:spacing w:after="120" w:line="240" w:lineRule="auto"/>
        <w:jc w:val="both"/>
        <w:rPr>
          <w:rFonts w:cstheme="minorHAnsi"/>
        </w:rPr>
      </w:pPr>
    </w:p>
    <w:p w14:paraId="78146819" w14:textId="0235B305" w:rsidR="006D4E52" w:rsidRPr="009A65C4" w:rsidRDefault="006D5557" w:rsidP="003121A2">
      <w:pPr>
        <w:spacing w:after="120" w:line="240" w:lineRule="auto"/>
        <w:jc w:val="both"/>
        <w:rPr>
          <w:rFonts w:cstheme="minorHAnsi"/>
        </w:rPr>
      </w:pPr>
      <w:r w:rsidRPr="009A65C4">
        <w:rPr>
          <w:rFonts w:cstheme="minorHAnsi"/>
        </w:rPr>
        <w:t xml:space="preserve">Conformément aux dispositions de l’article R.22-10-14 IV du Code de commerce, </w:t>
      </w:r>
      <w:r w:rsidR="009A65C4" w:rsidRPr="009A65C4">
        <w:rPr>
          <w:rFonts w:cstheme="minorHAnsi"/>
        </w:rPr>
        <w:t xml:space="preserve">figurent ci-après </w:t>
      </w:r>
      <w:r w:rsidRPr="009A65C4">
        <w:rPr>
          <w:rFonts w:cstheme="minorHAnsi"/>
        </w:rPr>
        <w:t>la politique de rémunération des mandataires sociaux pour l’exercice 2023</w:t>
      </w:r>
      <w:r w:rsidR="00690B68" w:rsidRPr="009A65C4">
        <w:rPr>
          <w:rFonts w:cstheme="minorHAnsi"/>
        </w:rPr>
        <w:t xml:space="preserve"> (ci-après reproduite)</w:t>
      </w:r>
      <w:r w:rsidRPr="009A65C4">
        <w:rPr>
          <w:rFonts w:cstheme="minorHAnsi"/>
        </w:rPr>
        <w:t xml:space="preserve"> </w:t>
      </w:r>
      <w:r w:rsidR="009A65C4" w:rsidRPr="009A65C4">
        <w:rPr>
          <w:rFonts w:cstheme="minorHAnsi"/>
        </w:rPr>
        <w:t xml:space="preserve">qui a été </w:t>
      </w:r>
      <w:r w:rsidRPr="009A65C4">
        <w:rPr>
          <w:rFonts w:cstheme="minorHAnsi"/>
        </w:rPr>
        <w:t xml:space="preserve">approuvée </w:t>
      </w:r>
      <w:r w:rsidR="009A65C4" w:rsidRPr="009A65C4">
        <w:rPr>
          <w:rFonts w:cstheme="minorHAnsi"/>
        </w:rPr>
        <w:t xml:space="preserve">sans modification </w:t>
      </w:r>
      <w:r w:rsidRPr="009A65C4">
        <w:rPr>
          <w:rFonts w:cstheme="minorHAnsi"/>
        </w:rPr>
        <w:t>par l’assemblée générale mixte des actionnaires du 14 septembre 2023</w:t>
      </w:r>
      <w:r w:rsidR="009A65C4" w:rsidRPr="009A65C4">
        <w:rPr>
          <w:rFonts w:cstheme="minorHAnsi"/>
        </w:rPr>
        <w:t xml:space="preserve"> et le résultat des votes.</w:t>
      </w:r>
    </w:p>
    <w:p w14:paraId="0BB83096" w14:textId="3D6B3CA7" w:rsidR="00690B68" w:rsidRPr="009A65C4" w:rsidRDefault="00690B68" w:rsidP="009A65C4">
      <w:pPr>
        <w:keepLines/>
        <w:spacing w:after="120" w:line="312" w:lineRule="auto"/>
        <w:jc w:val="both"/>
        <w:rPr>
          <w:rFonts w:cstheme="minorHAnsi"/>
          <w:b/>
          <w:bCs/>
          <w:color w:val="002060"/>
        </w:rPr>
      </w:pPr>
      <w:r w:rsidRPr="009A65C4">
        <w:rPr>
          <w:rFonts w:cstheme="minorHAnsi"/>
          <w:b/>
          <w:bCs/>
          <w:color w:val="002060"/>
        </w:rPr>
        <w:t>Résultats de vote</w:t>
      </w:r>
    </w:p>
    <w:p w14:paraId="60FC1982" w14:textId="77777777" w:rsidR="00690B68" w:rsidRDefault="00690B68" w:rsidP="00690B68">
      <w:pPr>
        <w:spacing w:after="120" w:line="240" w:lineRule="auto"/>
        <w:jc w:val="both"/>
        <w:rPr>
          <w:rFonts w:cstheme="minorHAnsi"/>
        </w:rPr>
      </w:pPr>
      <w:r w:rsidRPr="009A65C4">
        <w:rPr>
          <w:rFonts w:cstheme="minorHAnsi"/>
        </w:rPr>
        <w:t>Les résultats des votes sur les résolutions relatives à cette politique de rémunération sont les suivants :</w:t>
      </w:r>
    </w:p>
    <w:tbl>
      <w:tblPr>
        <w:tblStyle w:val="Grilledutableau"/>
        <w:tblW w:w="9265" w:type="dxa"/>
        <w:tblLook w:val="04A0" w:firstRow="1" w:lastRow="0" w:firstColumn="1" w:lastColumn="0" w:noHBand="0" w:noVBand="1"/>
      </w:tblPr>
      <w:tblGrid>
        <w:gridCol w:w="3084"/>
        <w:gridCol w:w="1240"/>
        <w:gridCol w:w="1323"/>
        <w:gridCol w:w="1200"/>
        <w:gridCol w:w="1200"/>
        <w:gridCol w:w="1218"/>
      </w:tblGrid>
      <w:tr w:rsidR="0006442D" w:rsidRPr="00C61D93" w14:paraId="550EA651" w14:textId="77777777" w:rsidTr="00C61D93">
        <w:trPr>
          <w:trHeight w:val="827"/>
        </w:trPr>
        <w:tc>
          <w:tcPr>
            <w:tcW w:w="3084" w:type="dxa"/>
            <w:shd w:val="pct10" w:color="auto" w:fill="auto"/>
            <w:vAlign w:val="center"/>
          </w:tcPr>
          <w:p w14:paraId="128940A7" w14:textId="4BFECC76" w:rsidR="0006442D" w:rsidRPr="00C61D93" w:rsidRDefault="0006442D" w:rsidP="00C61D93">
            <w:pPr>
              <w:spacing w:after="120"/>
              <w:jc w:val="center"/>
              <w:rPr>
                <w:rFonts w:cstheme="minorHAnsi"/>
                <w:b/>
                <w:bCs/>
              </w:rPr>
            </w:pPr>
            <w:r w:rsidRPr="00C61D93">
              <w:rPr>
                <w:rFonts w:cstheme="minorHAnsi"/>
                <w:b/>
                <w:bCs/>
              </w:rPr>
              <w:t>Résolutions</w:t>
            </w:r>
          </w:p>
        </w:tc>
        <w:tc>
          <w:tcPr>
            <w:tcW w:w="1240" w:type="dxa"/>
            <w:shd w:val="pct10" w:color="auto" w:fill="auto"/>
            <w:noWrap/>
            <w:vAlign w:val="center"/>
          </w:tcPr>
          <w:p w14:paraId="3682054F" w14:textId="183CC30E" w:rsidR="0006442D" w:rsidRPr="00C61D93" w:rsidRDefault="00C61D93" w:rsidP="00C61D93">
            <w:pPr>
              <w:spacing w:after="120"/>
              <w:jc w:val="center"/>
              <w:rPr>
                <w:rFonts w:cstheme="minorHAnsi"/>
                <w:b/>
                <w:bCs/>
              </w:rPr>
            </w:pPr>
            <w:r w:rsidRPr="00C61D93">
              <w:rPr>
                <w:rFonts w:cstheme="minorHAnsi"/>
                <w:b/>
                <w:bCs/>
              </w:rPr>
              <w:t>% de droit de vote</w:t>
            </w:r>
          </w:p>
        </w:tc>
        <w:tc>
          <w:tcPr>
            <w:tcW w:w="1323" w:type="dxa"/>
            <w:shd w:val="pct10" w:color="auto" w:fill="auto"/>
            <w:noWrap/>
            <w:vAlign w:val="center"/>
          </w:tcPr>
          <w:p w14:paraId="35127BD8" w14:textId="195A5EB1" w:rsidR="0006442D" w:rsidRPr="00C61D93" w:rsidRDefault="00C61D93" w:rsidP="00C61D93">
            <w:pPr>
              <w:spacing w:after="120"/>
              <w:jc w:val="center"/>
              <w:rPr>
                <w:rFonts w:cstheme="minorHAnsi"/>
                <w:b/>
                <w:bCs/>
              </w:rPr>
            </w:pPr>
            <w:r>
              <w:rPr>
                <w:rFonts w:cstheme="minorHAnsi"/>
                <w:b/>
                <w:bCs/>
              </w:rPr>
              <w:t>N</w:t>
            </w:r>
            <w:r w:rsidRPr="00C61D93">
              <w:rPr>
                <w:rFonts w:cstheme="minorHAnsi"/>
                <w:b/>
                <w:bCs/>
              </w:rPr>
              <w:t>ombre de voix</w:t>
            </w:r>
            <w:r>
              <w:rPr>
                <w:rFonts w:cstheme="minorHAnsi"/>
                <w:b/>
                <w:bCs/>
              </w:rPr>
              <w:t xml:space="preserve"> Pour</w:t>
            </w:r>
          </w:p>
        </w:tc>
        <w:tc>
          <w:tcPr>
            <w:tcW w:w="1200" w:type="dxa"/>
            <w:shd w:val="pct10" w:color="auto" w:fill="auto"/>
            <w:noWrap/>
            <w:vAlign w:val="center"/>
          </w:tcPr>
          <w:p w14:paraId="2125E6A3" w14:textId="2E0A9E97" w:rsidR="0006442D" w:rsidRPr="00C61D93" w:rsidRDefault="00C61D93" w:rsidP="00C61D93">
            <w:pPr>
              <w:spacing w:after="120"/>
              <w:jc w:val="center"/>
              <w:rPr>
                <w:rFonts w:cstheme="minorHAnsi"/>
                <w:b/>
                <w:bCs/>
              </w:rPr>
            </w:pPr>
            <w:r w:rsidRPr="00C61D93">
              <w:rPr>
                <w:rFonts w:cstheme="minorHAnsi"/>
                <w:b/>
                <w:bCs/>
              </w:rPr>
              <w:t>% de droit de vote</w:t>
            </w:r>
          </w:p>
        </w:tc>
        <w:tc>
          <w:tcPr>
            <w:tcW w:w="1200" w:type="dxa"/>
            <w:shd w:val="pct10" w:color="auto" w:fill="auto"/>
            <w:noWrap/>
            <w:vAlign w:val="center"/>
          </w:tcPr>
          <w:p w14:paraId="460DB489" w14:textId="17A707E4" w:rsidR="0006442D" w:rsidRPr="00C61D93" w:rsidRDefault="00C61D93" w:rsidP="00C61D93">
            <w:pPr>
              <w:spacing w:after="120"/>
              <w:jc w:val="center"/>
              <w:rPr>
                <w:rFonts w:cstheme="minorHAnsi"/>
                <w:b/>
                <w:bCs/>
              </w:rPr>
            </w:pPr>
            <w:r>
              <w:rPr>
                <w:rFonts w:cstheme="minorHAnsi"/>
                <w:b/>
                <w:bCs/>
              </w:rPr>
              <w:t>N</w:t>
            </w:r>
            <w:r w:rsidRPr="00C61D93">
              <w:rPr>
                <w:rFonts w:cstheme="minorHAnsi"/>
                <w:b/>
                <w:bCs/>
              </w:rPr>
              <w:t>ombre de voix</w:t>
            </w:r>
            <w:r>
              <w:rPr>
                <w:rFonts w:cstheme="minorHAnsi"/>
                <w:b/>
                <w:bCs/>
              </w:rPr>
              <w:t xml:space="preserve"> Contre </w:t>
            </w:r>
          </w:p>
        </w:tc>
        <w:tc>
          <w:tcPr>
            <w:tcW w:w="1218" w:type="dxa"/>
            <w:shd w:val="pct10" w:color="auto" w:fill="auto"/>
            <w:noWrap/>
            <w:vAlign w:val="center"/>
          </w:tcPr>
          <w:p w14:paraId="16D3C3E3" w14:textId="5728A8D4" w:rsidR="0006442D" w:rsidRPr="00C61D93" w:rsidRDefault="00C61D93" w:rsidP="00C61D93">
            <w:pPr>
              <w:spacing w:after="120"/>
              <w:jc w:val="center"/>
              <w:rPr>
                <w:rFonts w:cstheme="minorHAnsi"/>
                <w:b/>
                <w:bCs/>
              </w:rPr>
            </w:pPr>
            <w:r w:rsidRPr="00C61D93">
              <w:rPr>
                <w:rFonts w:cstheme="minorHAnsi"/>
                <w:b/>
                <w:bCs/>
              </w:rPr>
              <w:t>Abstention (nombre de voix)</w:t>
            </w:r>
          </w:p>
        </w:tc>
      </w:tr>
      <w:tr w:rsidR="00C61D93" w:rsidRPr="0006442D" w14:paraId="420F99AC" w14:textId="77777777" w:rsidTr="00C61D93">
        <w:trPr>
          <w:trHeight w:val="1020"/>
        </w:trPr>
        <w:tc>
          <w:tcPr>
            <w:tcW w:w="3084" w:type="dxa"/>
            <w:vAlign w:val="center"/>
            <w:hideMark/>
          </w:tcPr>
          <w:p w14:paraId="26E564A1" w14:textId="05773014" w:rsidR="00C61D93" w:rsidRPr="0006442D" w:rsidRDefault="00C61D93" w:rsidP="00C61D93">
            <w:pPr>
              <w:spacing w:after="120" w:line="240" w:lineRule="auto"/>
              <w:jc w:val="both"/>
              <w:rPr>
                <w:rFonts w:cstheme="minorHAnsi"/>
              </w:rPr>
            </w:pPr>
            <w:r w:rsidRPr="0006442D">
              <w:rPr>
                <w:rFonts w:cstheme="minorHAnsi"/>
                <w:b/>
                <w:bCs/>
              </w:rPr>
              <w:t>Résolution n°</w:t>
            </w:r>
            <w:r>
              <w:rPr>
                <w:rFonts w:cstheme="minorHAnsi"/>
                <w:b/>
                <w:bCs/>
              </w:rPr>
              <w:t>8</w:t>
            </w:r>
            <w:r w:rsidRPr="0006442D">
              <w:rPr>
                <w:rFonts w:cstheme="minorHAnsi"/>
              </w:rPr>
              <w:t xml:space="preserve"> - Approbation de la politique de rémunération des dirigeants mandataires sociaux</w:t>
            </w:r>
          </w:p>
        </w:tc>
        <w:tc>
          <w:tcPr>
            <w:tcW w:w="1240" w:type="dxa"/>
            <w:noWrap/>
            <w:vAlign w:val="center"/>
            <w:hideMark/>
          </w:tcPr>
          <w:p w14:paraId="495230CE" w14:textId="3FAD9DE4" w:rsidR="00C61D93" w:rsidRPr="0006442D" w:rsidRDefault="00C61D93" w:rsidP="00C61D93">
            <w:pPr>
              <w:spacing w:after="120" w:line="240" w:lineRule="auto"/>
              <w:jc w:val="center"/>
              <w:rPr>
                <w:rFonts w:cstheme="minorHAnsi"/>
              </w:rPr>
            </w:pPr>
            <w:r>
              <w:rPr>
                <w:rFonts w:cstheme="minorHAnsi"/>
              </w:rPr>
              <w:t>100</w:t>
            </w:r>
            <w:r w:rsidRPr="0006442D">
              <w:rPr>
                <w:rFonts w:cstheme="minorHAnsi"/>
              </w:rPr>
              <w:t>%</w:t>
            </w:r>
          </w:p>
        </w:tc>
        <w:tc>
          <w:tcPr>
            <w:tcW w:w="1323" w:type="dxa"/>
            <w:noWrap/>
            <w:vAlign w:val="center"/>
          </w:tcPr>
          <w:p w14:paraId="71273124" w14:textId="59E544BD" w:rsidR="00C61D93" w:rsidRPr="0006442D" w:rsidRDefault="00C61D93" w:rsidP="00C61D93">
            <w:pPr>
              <w:spacing w:after="120"/>
              <w:jc w:val="center"/>
              <w:rPr>
                <w:rFonts w:cstheme="minorHAnsi"/>
              </w:rPr>
            </w:pPr>
            <w:r w:rsidRPr="007C6D19">
              <w:t>16</w:t>
            </w:r>
            <w:r>
              <w:t> </w:t>
            </w:r>
            <w:r w:rsidRPr="007C6D19">
              <w:t>059</w:t>
            </w:r>
            <w:r>
              <w:t xml:space="preserve"> </w:t>
            </w:r>
            <w:r w:rsidRPr="007C6D19">
              <w:t>232</w:t>
            </w:r>
          </w:p>
        </w:tc>
        <w:tc>
          <w:tcPr>
            <w:tcW w:w="1200" w:type="dxa"/>
            <w:noWrap/>
            <w:vAlign w:val="center"/>
            <w:hideMark/>
          </w:tcPr>
          <w:p w14:paraId="079517E9" w14:textId="77777777" w:rsidR="00C61D93" w:rsidRPr="0006442D" w:rsidRDefault="00C61D93" w:rsidP="00C61D93">
            <w:pPr>
              <w:spacing w:after="120"/>
              <w:jc w:val="center"/>
              <w:rPr>
                <w:rFonts w:cstheme="minorHAnsi"/>
              </w:rPr>
            </w:pPr>
            <w:r w:rsidRPr="0006442D">
              <w:rPr>
                <w:rFonts w:cstheme="minorHAnsi"/>
              </w:rPr>
              <w:t>-</w:t>
            </w:r>
          </w:p>
        </w:tc>
        <w:tc>
          <w:tcPr>
            <w:tcW w:w="1200" w:type="dxa"/>
            <w:noWrap/>
            <w:vAlign w:val="center"/>
            <w:hideMark/>
          </w:tcPr>
          <w:p w14:paraId="7DC2F36C" w14:textId="77777777" w:rsidR="00C61D93" w:rsidRPr="0006442D" w:rsidRDefault="00C61D93" w:rsidP="00C61D93">
            <w:pPr>
              <w:spacing w:after="120"/>
              <w:jc w:val="center"/>
              <w:rPr>
                <w:rFonts w:cstheme="minorHAnsi"/>
              </w:rPr>
            </w:pPr>
            <w:r w:rsidRPr="0006442D">
              <w:rPr>
                <w:rFonts w:cstheme="minorHAnsi"/>
              </w:rPr>
              <w:t>-</w:t>
            </w:r>
          </w:p>
        </w:tc>
        <w:tc>
          <w:tcPr>
            <w:tcW w:w="1218" w:type="dxa"/>
            <w:noWrap/>
            <w:vAlign w:val="center"/>
            <w:hideMark/>
          </w:tcPr>
          <w:p w14:paraId="3B0175C3" w14:textId="77777777" w:rsidR="00C61D93" w:rsidRPr="0006442D" w:rsidRDefault="00C61D93" w:rsidP="00C61D93">
            <w:pPr>
              <w:spacing w:after="120"/>
              <w:jc w:val="center"/>
              <w:rPr>
                <w:rFonts w:cstheme="minorHAnsi"/>
              </w:rPr>
            </w:pPr>
            <w:r w:rsidRPr="0006442D">
              <w:rPr>
                <w:rFonts w:cstheme="minorHAnsi"/>
              </w:rPr>
              <w:t>-</w:t>
            </w:r>
          </w:p>
        </w:tc>
      </w:tr>
      <w:tr w:rsidR="00C61D93" w:rsidRPr="0006442D" w14:paraId="4450F4E6" w14:textId="77777777" w:rsidTr="00C61D93">
        <w:trPr>
          <w:trHeight w:val="908"/>
        </w:trPr>
        <w:tc>
          <w:tcPr>
            <w:tcW w:w="3084" w:type="dxa"/>
            <w:vAlign w:val="center"/>
            <w:hideMark/>
          </w:tcPr>
          <w:p w14:paraId="6B874189" w14:textId="5E8136DB" w:rsidR="00C61D93" w:rsidRPr="0006442D" w:rsidRDefault="00C61D93" w:rsidP="00C61D93">
            <w:pPr>
              <w:spacing w:after="120"/>
              <w:jc w:val="both"/>
              <w:rPr>
                <w:rFonts w:cstheme="minorHAnsi"/>
              </w:rPr>
            </w:pPr>
            <w:r w:rsidRPr="0006442D">
              <w:rPr>
                <w:rFonts w:cstheme="minorHAnsi"/>
                <w:b/>
                <w:bCs/>
              </w:rPr>
              <w:t>Résolution n°</w:t>
            </w:r>
            <w:r>
              <w:rPr>
                <w:rFonts w:cstheme="minorHAnsi"/>
                <w:b/>
                <w:bCs/>
              </w:rPr>
              <w:t>9</w:t>
            </w:r>
            <w:r w:rsidRPr="0006442D">
              <w:rPr>
                <w:rFonts w:cstheme="minorHAnsi"/>
              </w:rPr>
              <w:t xml:space="preserve"> - Approbation de la politique de rémunération des administrateurs</w:t>
            </w:r>
          </w:p>
        </w:tc>
        <w:tc>
          <w:tcPr>
            <w:tcW w:w="1240" w:type="dxa"/>
            <w:noWrap/>
            <w:vAlign w:val="center"/>
            <w:hideMark/>
          </w:tcPr>
          <w:p w14:paraId="3EEA0DBF" w14:textId="1EE4A953" w:rsidR="00C61D93" w:rsidRPr="0006442D" w:rsidRDefault="00C61D93" w:rsidP="00C61D93">
            <w:pPr>
              <w:spacing w:after="120" w:line="240" w:lineRule="auto"/>
              <w:jc w:val="center"/>
              <w:rPr>
                <w:rFonts w:cstheme="minorHAnsi"/>
              </w:rPr>
            </w:pPr>
            <w:r>
              <w:rPr>
                <w:rFonts w:cstheme="minorHAnsi"/>
              </w:rPr>
              <w:t>100</w:t>
            </w:r>
            <w:r w:rsidRPr="0006442D">
              <w:rPr>
                <w:rFonts w:cstheme="minorHAnsi"/>
              </w:rPr>
              <w:t>%</w:t>
            </w:r>
          </w:p>
        </w:tc>
        <w:tc>
          <w:tcPr>
            <w:tcW w:w="1323" w:type="dxa"/>
            <w:noWrap/>
            <w:vAlign w:val="center"/>
          </w:tcPr>
          <w:p w14:paraId="341E1E4C" w14:textId="7CB89F00" w:rsidR="00C61D93" w:rsidRPr="0006442D" w:rsidRDefault="00C61D93" w:rsidP="00C61D93">
            <w:pPr>
              <w:spacing w:after="120"/>
              <w:jc w:val="center"/>
              <w:rPr>
                <w:rFonts w:cstheme="minorHAnsi"/>
              </w:rPr>
            </w:pPr>
            <w:r w:rsidRPr="007C6D19">
              <w:t>16</w:t>
            </w:r>
            <w:r>
              <w:t> </w:t>
            </w:r>
            <w:r w:rsidRPr="007C6D19">
              <w:t>059</w:t>
            </w:r>
            <w:r>
              <w:t xml:space="preserve"> </w:t>
            </w:r>
            <w:r w:rsidRPr="007C6D19">
              <w:t>232</w:t>
            </w:r>
          </w:p>
        </w:tc>
        <w:tc>
          <w:tcPr>
            <w:tcW w:w="1200" w:type="dxa"/>
            <w:noWrap/>
            <w:vAlign w:val="center"/>
            <w:hideMark/>
          </w:tcPr>
          <w:p w14:paraId="027D0F26" w14:textId="77777777" w:rsidR="00C61D93" w:rsidRPr="0006442D" w:rsidRDefault="00C61D93" w:rsidP="00C61D93">
            <w:pPr>
              <w:spacing w:after="120"/>
              <w:jc w:val="center"/>
              <w:rPr>
                <w:rFonts w:cstheme="minorHAnsi"/>
              </w:rPr>
            </w:pPr>
            <w:r w:rsidRPr="0006442D">
              <w:rPr>
                <w:rFonts w:cstheme="minorHAnsi"/>
              </w:rPr>
              <w:t>-</w:t>
            </w:r>
          </w:p>
        </w:tc>
        <w:tc>
          <w:tcPr>
            <w:tcW w:w="1200" w:type="dxa"/>
            <w:noWrap/>
            <w:vAlign w:val="center"/>
            <w:hideMark/>
          </w:tcPr>
          <w:p w14:paraId="12BAC780" w14:textId="77777777" w:rsidR="00C61D93" w:rsidRPr="0006442D" w:rsidRDefault="00C61D93" w:rsidP="00C61D93">
            <w:pPr>
              <w:spacing w:after="120"/>
              <w:jc w:val="center"/>
              <w:rPr>
                <w:rFonts w:cstheme="minorHAnsi"/>
              </w:rPr>
            </w:pPr>
            <w:r w:rsidRPr="0006442D">
              <w:rPr>
                <w:rFonts w:cstheme="minorHAnsi"/>
              </w:rPr>
              <w:t>-</w:t>
            </w:r>
          </w:p>
        </w:tc>
        <w:tc>
          <w:tcPr>
            <w:tcW w:w="1218" w:type="dxa"/>
            <w:noWrap/>
            <w:vAlign w:val="center"/>
            <w:hideMark/>
          </w:tcPr>
          <w:p w14:paraId="228430CD" w14:textId="77777777" w:rsidR="00C61D93" w:rsidRPr="0006442D" w:rsidRDefault="00C61D93" w:rsidP="00C61D93">
            <w:pPr>
              <w:spacing w:after="120"/>
              <w:jc w:val="center"/>
              <w:rPr>
                <w:rFonts w:cstheme="minorHAnsi"/>
              </w:rPr>
            </w:pPr>
            <w:r w:rsidRPr="0006442D">
              <w:rPr>
                <w:rFonts w:cstheme="minorHAnsi"/>
              </w:rPr>
              <w:t>-</w:t>
            </w:r>
          </w:p>
        </w:tc>
      </w:tr>
    </w:tbl>
    <w:p w14:paraId="4AB351C1" w14:textId="77777777" w:rsidR="0006442D" w:rsidRDefault="0006442D" w:rsidP="00690B68">
      <w:pPr>
        <w:spacing w:after="120" w:line="240" w:lineRule="auto"/>
        <w:jc w:val="both"/>
        <w:rPr>
          <w:rFonts w:cstheme="minorHAnsi"/>
        </w:rPr>
      </w:pPr>
    </w:p>
    <w:p w14:paraId="7980F226" w14:textId="59D85630" w:rsidR="006D5557" w:rsidRPr="009A65C4" w:rsidRDefault="00690B68" w:rsidP="009A65C4">
      <w:pPr>
        <w:keepLines/>
        <w:spacing w:after="120" w:line="312" w:lineRule="auto"/>
        <w:jc w:val="both"/>
        <w:rPr>
          <w:rFonts w:cstheme="minorHAnsi"/>
          <w:b/>
          <w:bCs/>
          <w:color w:val="002060"/>
        </w:rPr>
      </w:pPr>
      <w:r w:rsidRPr="009A65C4">
        <w:rPr>
          <w:rFonts w:cstheme="minorHAnsi"/>
          <w:b/>
          <w:bCs/>
          <w:color w:val="002060"/>
        </w:rPr>
        <w:t>Politique de rémunération des mandataires sociaux pour l’exercice 2023 présentée au paragraphe 6.4</w:t>
      </w:r>
      <w:r w:rsidR="009A65C4" w:rsidRPr="009A65C4">
        <w:rPr>
          <w:rFonts w:cstheme="minorHAnsi"/>
          <w:b/>
          <w:bCs/>
          <w:color w:val="002060"/>
        </w:rPr>
        <w:t>.1</w:t>
      </w:r>
      <w:r w:rsidRPr="009A65C4">
        <w:rPr>
          <w:rFonts w:cstheme="minorHAnsi"/>
          <w:b/>
          <w:bCs/>
          <w:color w:val="002060"/>
        </w:rPr>
        <w:t xml:space="preserve"> du rapport financier annuel</w:t>
      </w:r>
      <w:r w:rsidR="009A65C4" w:rsidRPr="009A65C4">
        <w:rPr>
          <w:rFonts w:cstheme="minorHAnsi"/>
          <w:b/>
          <w:bCs/>
          <w:color w:val="002060"/>
        </w:rPr>
        <w:t xml:space="preserve"> (</w:t>
      </w:r>
      <w:r w:rsidR="009A65C4" w:rsidRPr="00C61D93">
        <w:rPr>
          <w:rFonts w:cstheme="minorHAnsi"/>
          <w:b/>
          <w:bCs/>
          <w:i/>
          <w:iCs/>
          <w:color w:val="002060"/>
        </w:rPr>
        <w:t>les éventuels renvois correspondent aux paragraphes du rapport financier annuel 2022</w:t>
      </w:r>
      <w:r w:rsidR="009A65C4" w:rsidRPr="009A65C4">
        <w:rPr>
          <w:rFonts w:cstheme="minorHAnsi"/>
          <w:b/>
          <w:bCs/>
          <w:color w:val="002060"/>
        </w:rPr>
        <w:t>)</w:t>
      </w:r>
    </w:p>
    <w:p w14:paraId="5AC30B5A" w14:textId="77777777" w:rsidR="009A65C4" w:rsidRPr="009A65C4" w:rsidRDefault="009A65C4" w:rsidP="009A65C4">
      <w:pPr>
        <w:keepLines/>
        <w:spacing w:after="120" w:line="312" w:lineRule="auto"/>
        <w:jc w:val="both"/>
        <w:rPr>
          <w:rFonts w:cstheme="minorHAnsi"/>
        </w:rPr>
      </w:pPr>
      <w:r w:rsidRPr="009A65C4">
        <w:rPr>
          <w:rFonts w:cstheme="minorHAnsi"/>
        </w:rPr>
        <w:t>La politique de rémunération des mandataires sociaux est déterminée par le Conseil d’administration, sur recommandations du Comité des nominations et rémunérations, conformément aux dispositions légales en vigueur et au Code Middlenext.</w:t>
      </w:r>
    </w:p>
    <w:p w14:paraId="079755D6" w14:textId="6230D700" w:rsidR="009A65C4" w:rsidRPr="009A65C4" w:rsidRDefault="009A65C4" w:rsidP="009A65C4">
      <w:pPr>
        <w:keepLines/>
        <w:spacing w:after="120" w:line="312" w:lineRule="auto"/>
        <w:jc w:val="both"/>
        <w:rPr>
          <w:rFonts w:cstheme="minorHAnsi"/>
        </w:rPr>
      </w:pPr>
      <w:r w:rsidRPr="009A65C4">
        <w:rPr>
          <w:rFonts w:cstheme="minorHAnsi"/>
        </w:rPr>
        <w:t>Conformément aux dispositions des articles L. 22-10-8 et R. 22-10-14 du Code de commerce, le Conseil d’administration veille à ce que la politique de rémunération mise en place soit conforme à l'intérêt social</w:t>
      </w:r>
      <w:r w:rsidR="00E8478F">
        <w:rPr>
          <w:rFonts w:cstheme="minorHAnsi"/>
        </w:rPr>
        <w:t>,</w:t>
      </w:r>
      <w:r w:rsidRPr="009A65C4">
        <w:rPr>
          <w:rFonts w:cstheme="minorHAnsi"/>
        </w:rPr>
        <w:t xml:space="preserve"> qu’elle soit adaptée à l’activité de la Société et au contexte dans lequel elle évolue, qu’elle contribue à sa pérennité et s’inscr</w:t>
      </w:r>
      <w:r w:rsidR="00E8478F">
        <w:rPr>
          <w:rFonts w:cstheme="minorHAnsi"/>
        </w:rPr>
        <w:t>iv</w:t>
      </w:r>
      <w:r w:rsidRPr="009A65C4">
        <w:rPr>
          <w:rFonts w:cstheme="minorHAnsi"/>
        </w:rPr>
        <w:t>e dans sa stratégie commerciale.</w:t>
      </w:r>
    </w:p>
    <w:p w14:paraId="53C4B9EC" w14:textId="3490477F" w:rsidR="009A65C4" w:rsidRPr="009A65C4" w:rsidRDefault="009A65C4" w:rsidP="009A65C4">
      <w:pPr>
        <w:keepLines/>
        <w:spacing w:after="120" w:line="312" w:lineRule="auto"/>
        <w:jc w:val="both"/>
        <w:rPr>
          <w:rFonts w:cstheme="minorHAnsi"/>
        </w:rPr>
      </w:pPr>
      <w:r w:rsidRPr="009A65C4">
        <w:rPr>
          <w:rFonts w:cstheme="minorHAnsi"/>
        </w:rPr>
        <w:lastRenderedPageBreak/>
        <w:t>La politique de rémunération pour l’exercice 2023 a été arrêté</w:t>
      </w:r>
      <w:r w:rsidR="00FB7742">
        <w:rPr>
          <w:rFonts w:cstheme="minorHAnsi"/>
        </w:rPr>
        <w:t>e</w:t>
      </w:r>
      <w:r w:rsidRPr="009A65C4">
        <w:rPr>
          <w:rFonts w:cstheme="minorHAnsi"/>
        </w:rPr>
        <w:t xml:space="preserve"> par le Conseil d’administration lors de sa réunion du 28 juillet 2023 sur la base des recommandations du Comité des nominations et des rémunérations.</w:t>
      </w:r>
    </w:p>
    <w:p w14:paraId="3D1D8201" w14:textId="60D8DBE7" w:rsidR="009A65C4" w:rsidRPr="009A65C4" w:rsidRDefault="009A65C4" w:rsidP="009A65C4">
      <w:pPr>
        <w:keepLines/>
        <w:spacing w:after="120" w:line="312" w:lineRule="auto"/>
        <w:jc w:val="both"/>
        <w:rPr>
          <w:rFonts w:cstheme="minorHAnsi"/>
        </w:rPr>
      </w:pPr>
      <w:r w:rsidRPr="009A65C4">
        <w:rPr>
          <w:rFonts w:cstheme="minorHAnsi"/>
        </w:rPr>
        <w:t xml:space="preserve">Conformément aux dispositions de l’article L. 22-10-8 du Code de commerce, l’Assemblée Générale </w:t>
      </w:r>
      <w:r w:rsidR="00FB7742">
        <w:rPr>
          <w:rFonts w:cstheme="minorHAnsi"/>
        </w:rPr>
        <w:t xml:space="preserve">a </w:t>
      </w:r>
      <w:r w:rsidRPr="009A65C4">
        <w:rPr>
          <w:rFonts w:cstheme="minorHAnsi"/>
        </w:rPr>
        <w:t>approuv</w:t>
      </w:r>
      <w:r w:rsidR="00FB7742">
        <w:rPr>
          <w:rFonts w:cstheme="minorHAnsi"/>
        </w:rPr>
        <w:t>é</w:t>
      </w:r>
      <w:r w:rsidRPr="009A65C4">
        <w:rPr>
          <w:rFonts w:cstheme="minorHAnsi"/>
        </w:rPr>
        <w:t xml:space="preserve"> la politique de rémunération des mandataires sociaux. Cette politique de rémunération s’applique au cours de l’exercice 2023 à toute personne exerçant un mandat social au sein de la Société au cours dudit exercice.</w:t>
      </w:r>
    </w:p>
    <w:p w14:paraId="30113017" w14:textId="77777777" w:rsidR="009A65C4" w:rsidRPr="008B7560" w:rsidRDefault="009A65C4" w:rsidP="008B7560">
      <w:pPr>
        <w:keepNext/>
        <w:keepLines/>
        <w:spacing w:after="120" w:line="312" w:lineRule="auto"/>
        <w:jc w:val="both"/>
        <w:rPr>
          <w:rFonts w:cstheme="minorHAnsi"/>
          <w:b/>
          <w:bCs/>
          <w:color w:val="002060"/>
          <w:u w:val="single"/>
        </w:rPr>
      </w:pPr>
      <w:bookmarkStart w:id="0" w:name="_Ref140837165"/>
      <w:r w:rsidRPr="008B7560">
        <w:rPr>
          <w:rFonts w:cstheme="minorHAnsi"/>
          <w:b/>
          <w:bCs/>
          <w:color w:val="002060"/>
          <w:u w:val="single"/>
        </w:rPr>
        <w:t>Politique de rémunération des dirigeants mandataires sociaux</w:t>
      </w:r>
      <w:bookmarkEnd w:id="0"/>
    </w:p>
    <w:p w14:paraId="1E6EA006" w14:textId="77777777" w:rsidR="009A65C4" w:rsidRPr="009A65C4" w:rsidRDefault="009A65C4" w:rsidP="009A65C4">
      <w:pPr>
        <w:keepNext/>
        <w:keepLines/>
        <w:spacing w:after="120" w:line="312" w:lineRule="auto"/>
        <w:jc w:val="both"/>
        <w:rPr>
          <w:rFonts w:cstheme="minorHAnsi"/>
        </w:rPr>
      </w:pPr>
      <w:r w:rsidRPr="009A65C4">
        <w:rPr>
          <w:rFonts w:cstheme="minorHAnsi"/>
        </w:rPr>
        <w:t>La politique de rémunération des mandataires sociaux est déterminée en prenant en compte notamment :</w:t>
      </w:r>
    </w:p>
    <w:p w14:paraId="14FDCC77"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les</w:t>
      </w:r>
      <w:proofErr w:type="gramEnd"/>
      <w:r w:rsidRPr="009A65C4">
        <w:rPr>
          <w:rFonts w:asciiTheme="minorHAnsi" w:hAnsiTheme="minorHAnsi" w:cstheme="minorHAnsi"/>
          <w:sz w:val="22"/>
        </w:rPr>
        <w:t xml:space="preserve"> principes édictés par le Code Middlenext, à savoir exhaustivité, équilibre entre les éléments de rémunération, benchmark, cohérence, lisibilité des règles, mesure et transparence ; </w:t>
      </w:r>
    </w:p>
    <w:p w14:paraId="6799B33D"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l’intérêt</w:t>
      </w:r>
      <w:proofErr w:type="gramEnd"/>
      <w:r w:rsidRPr="009A65C4">
        <w:rPr>
          <w:rFonts w:asciiTheme="minorHAnsi" w:hAnsiTheme="minorHAnsi" w:cstheme="minorHAnsi"/>
          <w:sz w:val="22"/>
        </w:rPr>
        <w:t xml:space="preserve"> social ;</w:t>
      </w:r>
    </w:p>
    <w:p w14:paraId="0E7E2C57"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l’expérience</w:t>
      </w:r>
      <w:proofErr w:type="gramEnd"/>
      <w:r w:rsidRPr="009A65C4">
        <w:rPr>
          <w:rFonts w:asciiTheme="minorHAnsi" w:hAnsiTheme="minorHAnsi" w:cstheme="minorHAnsi"/>
          <w:sz w:val="22"/>
        </w:rPr>
        <w:t xml:space="preserve"> et les compétences du dirigeant mandataire social concerné : -</w:t>
      </w:r>
    </w:p>
    <w:p w14:paraId="1977BEC7"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la</w:t>
      </w:r>
      <w:proofErr w:type="gramEnd"/>
      <w:r w:rsidRPr="009A65C4">
        <w:rPr>
          <w:rFonts w:asciiTheme="minorHAnsi" w:hAnsiTheme="minorHAnsi" w:cstheme="minorHAnsi"/>
          <w:sz w:val="22"/>
        </w:rPr>
        <w:t xml:space="preserve"> rémunération des autres dirigeants de la Société ; </w:t>
      </w:r>
    </w:p>
    <w:p w14:paraId="21DEA279"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la</w:t>
      </w:r>
      <w:proofErr w:type="gramEnd"/>
      <w:r w:rsidRPr="009A65C4">
        <w:rPr>
          <w:rFonts w:asciiTheme="minorHAnsi" w:hAnsiTheme="minorHAnsi" w:cstheme="minorHAnsi"/>
          <w:sz w:val="22"/>
        </w:rPr>
        <w:t xml:space="preserve"> fidélisation des dirigeants mandataires sociaux sur le long terme ;</w:t>
      </w:r>
    </w:p>
    <w:p w14:paraId="750BCF0D"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l’alignement</w:t>
      </w:r>
      <w:proofErr w:type="gramEnd"/>
      <w:r w:rsidRPr="009A65C4">
        <w:rPr>
          <w:rFonts w:asciiTheme="minorHAnsi" w:hAnsiTheme="minorHAnsi" w:cstheme="minorHAnsi"/>
          <w:sz w:val="22"/>
        </w:rPr>
        <w:t xml:space="preserve"> des intérêts de l’ensemble des parties prenantes (actionnaires, salariés….) ;</w:t>
      </w:r>
    </w:p>
    <w:p w14:paraId="6113106B"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la</w:t>
      </w:r>
      <w:proofErr w:type="gramEnd"/>
      <w:r w:rsidRPr="009A65C4">
        <w:rPr>
          <w:rFonts w:asciiTheme="minorHAnsi" w:hAnsiTheme="minorHAnsi" w:cstheme="minorHAnsi"/>
          <w:sz w:val="22"/>
        </w:rPr>
        <w:t xml:space="preserve"> politique RSE ;</w:t>
      </w:r>
    </w:p>
    <w:p w14:paraId="3369CBE3" w14:textId="77777777" w:rsidR="009A65C4" w:rsidRPr="009A65C4" w:rsidRDefault="009A65C4" w:rsidP="009A65C4">
      <w:pPr>
        <w:pStyle w:val="Paragraphedeliste"/>
        <w:keepLines/>
        <w:numPr>
          <w:ilvl w:val="0"/>
          <w:numId w:val="3"/>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les</w:t>
      </w:r>
      <w:proofErr w:type="gramEnd"/>
      <w:r w:rsidRPr="009A65C4">
        <w:rPr>
          <w:rFonts w:asciiTheme="minorHAnsi" w:hAnsiTheme="minorHAnsi" w:cstheme="minorHAnsi"/>
          <w:sz w:val="22"/>
        </w:rPr>
        <w:t xml:space="preserve"> pratiques de marché (comparaison avec des entreprises comparables…).</w:t>
      </w:r>
    </w:p>
    <w:p w14:paraId="7CBF9655" w14:textId="77777777" w:rsidR="009A65C4" w:rsidRPr="009A65C4" w:rsidRDefault="009A65C4" w:rsidP="009A65C4">
      <w:pPr>
        <w:keepLines/>
        <w:spacing w:after="120" w:line="312" w:lineRule="auto"/>
        <w:jc w:val="both"/>
        <w:rPr>
          <w:rFonts w:cstheme="minorHAnsi"/>
        </w:rPr>
      </w:pPr>
      <w:r w:rsidRPr="009A65C4">
        <w:rPr>
          <w:rFonts w:cstheme="minorHAnsi"/>
        </w:rPr>
        <w:t xml:space="preserve">Pour éviter tout conflit d’intérêts, le ou les dirigeants mandataires sociaux, lorsqu’ils sont membres du Conseil d’administration, ne prennent part ni aux délibérations ni au vote sur les éléments de rémunérations et engagements le concernant. </w:t>
      </w:r>
    </w:p>
    <w:p w14:paraId="5CF73709" w14:textId="77777777" w:rsidR="009A65C4" w:rsidRPr="009A65C4" w:rsidRDefault="009A65C4" w:rsidP="009A65C4">
      <w:pPr>
        <w:keepNext/>
        <w:keepLines/>
        <w:spacing w:after="120" w:line="312" w:lineRule="auto"/>
        <w:rPr>
          <w:rFonts w:cstheme="minorHAnsi"/>
          <w:b/>
          <w:bCs/>
          <w:i/>
          <w:iCs/>
          <w:color w:val="404040" w:themeColor="text1" w:themeTint="BF"/>
        </w:rPr>
      </w:pPr>
      <w:r w:rsidRPr="009A65C4">
        <w:rPr>
          <w:rFonts w:cstheme="minorHAnsi"/>
          <w:b/>
          <w:bCs/>
          <w:i/>
          <w:iCs/>
          <w:color w:val="404040" w:themeColor="text1" w:themeTint="BF"/>
        </w:rPr>
        <w:t>Politique de rémunération du Président du Conseil d’administration</w:t>
      </w:r>
    </w:p>
    <w:p w14:paraId="13072D5D" w14:textId="77777777" w:rsidR="009A65C4" w:rsidRPr="009A65C4" w:rsidRDefault="009A65C4" w:rsidP="009A65C4">
      <w:pPr>
        <w:keepLines/>
        <w:spacing w:after="120" w:line="312" w:lineRule="auto"/>
        <w:jc w:val="both"/>
        <w:rPr>
          <w:rFonts w:cstheme="minorHAnsi"/>
        </w:rPr>
      </w:pPr>
      <w:r w:rsidRPr="009A65C4">
        <w:rPr>
          <w:rFonts w:cstheme="minorHAnsi"/>
        </w:rPr>
        <w:t>Le Président du Conseil d’administration, à moins qu’il ne cumule ses fonctions avec la direction générale, n’est pas rémunéré au titre de son mandat de Président en tant que tel.</w:t>
      </w:r>
    </w:p>
    <w:p w14:paraId="1563FB24" w14:textId="77777777" w:rsidR="009A65C4" w:rsidRPr="009A65C4" w:rsidRDefault="009A65C4" w:rsidP="009A65C4">
      <w:pPr>
        <w:keepLines/>
        <w:spacing w:after="120" w:line="312" w:lineRule="auto"/>
        <w:jc w:val="both"/>
        <w:rPr>
          <w:rFonts w:cstheme="minorHAnsi"/>
        </w:rPr>
      </w:pPr>
      <w:r w:rsidRPr="009A65C4">
        <w:rPr>
          <w:rFonts w:cstheme="minorHAnsi"/>
        </w:rPr>
        <w:t>Toutefois, il est rémunéré au titre de son mandat d’administrateur dans les conditions définies ci-après.</w:t>
      </w:r>
    </w:p>
    <w:p w14:paraId="37A649F4" w14:textId="77777777" w:rsidR="009A65C4" w:rsidRPr="009A65C4" w:rsidRDefault="009A65C4" w:rsidP="009A65C4">
      <w:pPr>
        <w:keepLines/>
        <w:spacing w:after="120" w:line="312" w:lineRule="auto"/>
        <w:jc w:val="both"/>
        <w:rPr>
          <w:rFonts w:cstheme="minorHAnsi"/>
        </w:rPr>
      </w:pPr>
      <w:r w:rsidRPr="009A65C4">
        <w:rPr>
          <w:rFonts w:cstheme="minorHAnsi"/>
        </w:rPr>
        <w:t>Le Conseil d’administration pourra décider de lui allouer une rémunération exceptionnelle au titre de missions exceptionnelles qui lui seraient conférées par le Conseil d’administration, dans les conditions présentées ci-dessous s’agissant de la rémunération des mandataires sociaux non dirigeants.</w:t>
      </w:r>
    </w:p>
    <w:p w14:paraId="016FE020" w14:textId="77777777" w:rsidR="009A65C4" w:rsidRPr="009A65C4" w:rsidRDefault="009A65C4" w:rsidP="009A65C4">
      <w:pPr>
        <w:keepLines/>
        <w:spacing w:after="120" w:line="312" w:lineRule="auto"/>
        <w:jc w:val="both"/>
        <w:rPr>
          <w:rFonts w:cstheme="minorHAnsi"/>
        </w:rPr>
      </w:pPr>
      <w:r w:rsidRPr="009A65C4">
        <w:rPr>
          <w:rFonts w:cstheme="minorHAnsi"/>
        </w:rPr>
        <w:t>Compte tenu de ses fonctions non exécutives, le Président du Conseil d’Administration ne perçoit aucune autre rémunération (rémunération variable, avantages en nature, indemnité de départ et de non-concurrence, etc.).</w:t>
      </w:r>
    </w:p>
    <w:p w14:paraId="3BF5CDDE" w14:textId="77777777" w:rsidR="009A65C4" w:rsidRPr="009A65C4" w:rsidRDefault="009A65C4" w:rsidP="009A65C4">
      <w:pPr>
        <w:keepNext/>
        <w:keepLines/>
        <w:spacing w:after="120" w:line="312" w:lineRule="auto"/>
        <w:jc w:val="both"/>
        <w:rPr>
          <w:rFonts w:cstheme="minorHAnsi"/>
          <w:b/>
          <w:bCs/>
          <w:i/>
          <w:iCs/>
          <w:color w:val="404040" w:themeColor="text1" w:themeTint="BF"/>
        </w:rPr>
      </w:pPr>
      <w:r w:rsidRPr="009A65C4">
        <w:rPr>
          <w:rFonts w:cstheme="minorHAnsi"/>
          <w:b/>
          <w:bCs/>
          <w:i/>
          <w:iCs/>
          <w:color w:val="404040" w:themeColor="text1" w:themeTint="BF"/>
        </w:rPr>
        <w:lastRenderedPageBreak/>
        <w:t>Politique de rémunération du Directeur Général, et le cas échéant, du(des) Directeur(s) Général(aux) Délégué(s)</w:t>
      </w:r>
    </w:p>
    <w:p w14:paraId="5FE797DD" w14:textId="77777777" w:rsidR="009A65C4" w:rsidRPr="009A65C4" w:rsidRDefault="009A65C4" w:rsidP="009A65C4">
      <w:pPr>
        <w:keepLines/>
        <w:spacing w:after="120" w:line="312" w:lineRule="auto"/>
        <w:jc w:val="both"/>
        <w:rPr>
          <w:rFonts w:cstheme="minorHAnsi"/>
        </w:rPr>
      </w:pPr>
      <w:r w:rsidRPr="009A65C4">
        <w:rPr>
          <w:rFonts w:cstheme="minorHAnsi"/>
        </w:rPr>
        <w:t>Dès lors que la Société aura repris une activité opérationnelle, le Conseil d’administration, pourra, sur avis du Comité des nominations et rémunérations, décider d’attribuer au Directeur Général et/ou à toute personne qui viendrait à exercer les fonctions de Directeur Général ou des directeur général délégué, le(s) élément(s) de rémunération suivante :</w:t>
      </w:r>
    </w:p>
    <w:p w14:paraId="52B9D2E6" w14:textId="77777777" w:rsidR="009A65C4" w:rsidRPr="009A65C4" w:rsidRDefault="009A65C4" w:rsidP="009A65C4">
      <w:pPr>
        <w:keepNext/>
        <w:keepLines/>
        <w:spacing w:after="120" w:line="312" w:lineRule="auto"/>
        <w:rPr>
          <w:rFonts w:cstheme="minorHAnsi"/>
          <w:b/>
          <w:bCs/>
          <w:i/>
          <w:iCs/>
          <w:color w:val="002060"/>
        </w:rPr>
      </w:pPr>
      <w:r w:rsidRPr="009A65C4">
        <w:rPr>
          <w:rFonts w:cstheme="minorHAnsi"/>
          <w:b/>
          <w:bCs/>
          <w:i/>
          <w:iCs/>
          <w:color w:val="002060"/>
        </w:rPr>
        <w:t>Rémunération fixe :</w:t>
      </w:r>
    </w:p>
    <w:p w14:paraId="3DDCA4AF" w14:textId="77777777" w:rsidR="009A65C4" w:rsidRPr="009A65C4" w:rsidRDefault="009A65C4" w:rsidP="009A65C4">
      <w:pPr>
        <w:keepLines/>
        <w:spacing w:after="120" w:line="312" w:lineRule="auto"/>
        <w:jc w:val="both"/>
        <w:rPr>
          <w:rFonts w:cstheme="minorHAnsi"/>
        </w:rPr>
      </w:pPr>
      <w:r w:rsidRPr="009A65C4">
        <w:rPr>
          <w:rFonts w:cstheme="minorHAnsi"/>
        </w:rPr>
        <w:t xml:space="preserve">Le Conseil d’Administration arrête la partie fixe de la rémunération de chaque dirigeant mandataire social exécutif sur la base des responsabilités assumées et des pratiques de marché. </w:t>
      </w:r>
    </w:p>
    <w:p w14:paraId="54A6B353" w14:textId="77777777" w:rsidR="009A65C4" w:rsidRPr="009A65C4" w:rsidRDefault="009A65C4" w:rsidP="009A65C4">
      <w:pPr>
        <w:keepLines/>
        <w:spacing w:after="120" w:line="312" w:lineRule="auto"/>
        <w:jc w:val="both"/>
        <w:rPr>
          <w:rFonts w:cstheme="minorHAnsi"/>
        </w:rPr>
      </w:pPr>
      <w:r w:rsidRPr="009A65C4">
        <w:rPr>
          <w:rFonts w:cstheme="minorHAnsi"/>
        </w:rPr>
        <w:t>Cette rémunération fixe sera réexaminée annuellement par le Conseil d’Administration. Une modification de cette rémunération peut intervenir, en tenant compte des résultats économiques et financier de la Société au titre de l’exercice précédent.</w:t>
      </w:r>
    </w:p>
    <w:p w14:paraId="1A3A6A9F" w14:textId="77777777" w:rsidR="009A65C4" w:rsidRPr="009A65C4" w:rsidRDefault="009A65C4" w:rsidP="009A65C4">
      <w:pPr>
        <w:keepLines/>
        <w:spacing w:after="120" w:line="312" w:lineRule="auto"/>
        <w:jc w:val="both"/>
        <w:rPr>
          <w:rFonts w:cstheme="minorHAnsi"/>
        </w:rPr>
      </w:pPr>
      <w:r w:rsidRPr="009A65C4">
        <w:rPr>
          <w:rFonts w:cstheme="minorHAnsi"/>
        </w:rPr>
        <w:t xml:space="preserve">Il est rappelé que jusqu’à la réalisation de la Fusion, Monsieur Ronan </w:t>
      </w:r>
      <w:proofErr w:type="spellStart"/>
      <w:r w:rsidRPr="009A65C4">
        <w:rPr>
          <w:rFonts w:cstheme="minorHAnsi"/>
        </w:rPr>
        <w:t>Boulmé</w:t>
      </w:r>
      <w:proofErr w:type="spellEnd"/>
      <w:r w:rsidRPr="009A65C4">
        <w:rPr>
          <w:rFonts w:cstheme="minorHAnsi"/>
        </w:rPr>
        <w:t xml:space="preserve"> n’a pas été rémunéré par la Société au titre de de son mandat de Directeur Général, il était exclusivement rémunéré par ABL France au titre des fonctions salariées.</w:t>
      </w:r>
    </w:p>
    <w:p w14:paraId="4E1905B7" w14:textId="264C6B63" w:rsidR="009A65C4" w:rsidRPr="009A65C4" w:rsidRDefault="009A65C4" w:rsidP="009A65C4">
      <w:pPr>
        <w:keepLines/>
        <w:spacing w:after="120" w:line="312" w:lineRule="auto"/>
        <w:jc w:val="both"/>
        <w:rPr>
          <w:rFonts w:cstheme="minorHAnsi"/>
        </w:rPr>
      </w:pPr>
      <w:r w:rsidRPr="009A65C4">
        <w:rPr>
          <w:rFonts w:cstheme="minorHAnsi"/>
        </w:rPr>
        <w:t xml:space="preserve">Par décision en date du 31 août 2022, le Conseil d’administration, sur recommandations du comité des nominations et des rémunérations a décidé de maintenir le contrat de travail de Monsieur Ronan </w:t>
      </w:r>
      <w:proofErr w:type="spellStart"/>
      <w:r w:rsidRPr="009A65C4">
        <w:rPr>
          <w:rFonts w:cstheme="minorHAnsi"/>
        </w:rPr>
        <w:t>Boulmé</w:t>
      </w:r>
      <w:proofErr w:type="spellEnd"/>
      <w:r w:rsidRPr="009A65C4">
        <w:rPr>
          <w:rFonts w:cstheme="minorHAnsi"/>
        </w:rPr>
        <w:t xml:space="preserve"> (se référer à la section</w:t>
      </w:r>
      <w:r w:rsidR="00FB7742">
        <w:rPr>
          <w:rFonts w:cstheme="minorHAnsi"/>
        </w:rPr>
        <w:t xml:space="preserve"> 6.3.4.3 « </w:t>
      </w:r>
      <w:r w:rsidR="00FB7742" w:rsidRPr="00FB7742">
        <w:rPr>
          <w:rFonts w:cstheme="minorHAnsi"/>
          <w:i/>
          <w:iCs/>
        </w:rPr>
        <w:t>Biographie, mandats et fonctions exercés</w:t>
      </w:r>
      <w:r w:rsidR="00FB7742">
        <w:rPr>
          <w:rFonts w:cstheme="minorHAnsi"/>
        </w:rPr>
        <w:t> »</w:t>
      </w:r>
      <w:r w:rsidRPr="009A65C4">
        <w:rPr>
          <w:rFonts w:cstheme="minorHAnsi"/>
        </w:rPr>
        <w:t xml:space="preserve">). Le Conseil d’administration, sur avis du comité des nominations et des rémunérations, a considéré que le maintien du contrat de travail se justifiait non seulement par l’ancienneté importante de Monsieur </w:t>
      </w:r>
      <w:proofErr w:type="spellStart"/>
      <w:r w:rsidRPr="009A65C4">
        <w:rPr>
          <w:rFonts w:cstheme="minorHAnsi"/>
        </w:rPr>
        <w:t>Boulmé</w:t>
      </w:r>
      <w:proofErr w:type="spellEnd"/>
      <w:r w:rsidRPr="009A65C4">
        <w:rPr>
          <w:rFonts w:cstheme="minorHAnsi"/>
        </w:rPr>
        <w:t xml:space="preserve"> mais également par l’expérience reconnue de ce dernier au sein du groupe ABL dans un domaine clé de l’activité de la société ABL France exercée par la Société par l’effet de la fusion. Il a en outre notamment été relevé que Monsieur </w:t>
      </w:r>
      <w:proofErr w:type="spellStart"/>
      <w:r w:rsidRPr="009A65C4">
        <w:rPr>
          <w:rFonts w:cstheme="minorHAnsi"/>
        </w:rPr>
        <w:t>Boulmé</w:t>
      </w:r>
      <w:proofErr w:type="spellEnd"/>
      <w:r w:rsidRPr="009A65C4">
        <w:rPr>
          <w:rFonts w:cstheme="minorHAnsi"/>
        </w:rPr>
        <w:t xml:space="preserve"> exerce les fonctions de Directeur de la Conformité et notamment des affaires réglementaires santé, qui constituent par essence des fonctions opérationnelles et techniques distinctes de la direction générale.</w:t>
      </w:r>
    </w:p>
    <w:p w14:paraId="30FD20E9" w14:textId="77777777" w:rsidR="009A65C4" w:rsidRPr="009A65C4" w:rsidRDefault="009A65C4" w:rsidP="009A65C4">
      <w:pPr>
        <w:keepNext/>
        <w:keepLines/>
        <w:spacing w:after="120" w:line="312" w:lineRule="auto"/>
        <w:jc w:val="both"/>
        <w:rPr>
          <w:rFonts w:cstheme="minorHAnsi"/>
        </w:rPr>
      </w:pPr>
      <w:r w:rsidRPr="009A65C4">
        <w:rPr>
          <w:rFonts w:cstheme="minorHAnsi"/>
        </w:rPr>
        <w:t>Par décision en date du 1</w:t>
      </w:r>
      <w:r w:rsidRPr="009A65C4">
        <w:rPr>
          <w:rFonts w:cstheme="minorHAnsi"/>
          <w:vertAlign w:val="superscript"/>
        </w:rPr>
        <w:t>er</w:t>
      </w:r>
      <w:r w:rsidRPr="009A65C4">
        <w:rPr>
          <w:rFonts w:cstheme="minorHAnsi"/>
        </w:rPr>
        <w:t xml:space="preserve"> décembre 2022, le Conseil d’administration, sur recommandations du comité des nominations et des rémunérations, a décidé :</w:t>
      </w:r>
    </w:p>
    <w:p w14:paraId="79E465E7" w14:textId="439A5CA0" w:rsidR="009A65C4" w:rsidRPr="009A65C4" w:rsidRDefault="009A65C4" w:rsidP="009A65C4">
      <w:pPr>
        <w:pStyle w:val="Paragraphedeliste"/>
        <w:keepLines/>
        <w:numPr>
          <w:ilvl w:val="0"/>
          <w:numId w:val="2"/>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d’autoriser</w:t>
      </w:r>
      <w:proofErr w:type="gramEnd"/>
      <w:r w:rsidRPr="009A65C4">
        <w:rPr>
          <w:rFonts w:asciiTheme="minorHAnsi" w:hAnsiTheme="minorHAnsi" w:cstheme="minorHAnsi"/>
          <w:sz w:val="22"/>
        </w:rPr>
        <w:t xml:space="preserve"> la modification par voie d’avenant du contrat de travail liant Monsieur Ronan </w:t>
      </w:r>
      <w:proofErr w:type="spellStart"/>
      <w:r w:rsidRPr="009A65C4">
        <w:rPr>
          <w:rFonts w:asciiTheme="minorHAnsi" w:hAnsiTheme="minorHAnsi" w:cstheme="minorHAnsi"/>
          <w:sz w:val="22"/>
        </w:rPr>
        <w:t>Boulmé</w:t>
      </w:r>
      <w:proofErr w:type="spellEnd"/>
      <w:r w:rsidRPr="009A65C4">
        <w:rPr>
          <w:rFonts w:asciiTheme="minorHAnsi" w:hAnsiTheme="minorHAnsi" w:cstheme="minorHAnsi"/>
          <w:sz w:val="22"/>
        </w:rPr>
        <w:t xml:space="preserve"> à la Société (se référer à la section</w:t>
      </w:r>
      <w:r w:rsidR="00FB7742">
        <w:rPr>
          <w:rFonts w:asciiTheme="minorHAnsi" w:hAnsiTheme="minorHAnsi" w:cstheme="minorHAnsi"/>
          <w:sz w:val="22"/>
        </w:rPr>
        <w:t xml:space="preserve"> 4</w:t>
      </w:r>
      <w:r w:rsidRPr="009A65C4">
        <w:rPr>
          <w:rFonts w:asciiTheme="minorHAnsi" w:hAnsiTheme="minorHAnsi" w:cstheme="minorHAnsi"/>
          <w:sz w:val="22"/>
        </w:rPr>
        <w:t xml:space="preserve"> «  </w:t>
      </w:r>
      <w:r w:rsidRPr="009A65C4">
        <w:rPr>
          <w:rFonts w:asciiTheme="minorHAnsi" w:hAnsiTheme="minorHAnsi" w:cstheme="minorHAnsi"/>
          <w:i/>
          <w:iCs/>
          <w:sz w:val="22"/>
        </w:rPr>
        <w:t>Rapport du Commissaire aux Comptes sur les conventions et engagements réglementés </w:t>
      </w:r>
      <w:r w:rsidRPr="009A65C4">
        <w:rPr>
          <w:rFonts w:asciiTheme="minorHAnsi" w:hAnsiTheme="minorHAnsi" w:cstheme="minorHAnsi"/>
          <w:sz w:val="22"/>
        </w:rPr>
        <w:t>» et à la section</w:t>
      </w:r>
      <w:r w:rsidR="00FB7742">
        <w:rPr>
          <w:rFonts w:asciiTheme="minorHAnsi" w:hAnsiTheme="minorHAnsi" w:cstheme="minorHAnsi"/>
          <w:sz w:val="22"/>
        </w:rPr>
        <w:t xml:space="preserve"> 5.5 « </w:t>
      </w:r>
      <w:r w:rsidR="00FB7742" w:rsidRPr="00FB7742">
        <w:rPr>
          <w:rFonts w:asciiTheme="minorHAnsi" w:hAnsiTheme="minorHAnsi" w:cstheme="minorHAnsi"/>
          <w:i/>
          <w:iCs/>
          <w:sz w:val="22"/>
        </w:rPr>
        <w:t>Conventions visées à l’article L. 225-38 du Code de commerce</w:t>
      </w:r>
      <w:r w:rsidR="00FB7742" w:rsidRPr="00FB7742">
        <w:rPr>
          <w:rFonts w:asciiTheme="minorHAnsi" w:hAnsiTheme="minorHAnsi" w:cstheme="minorHAnsi"/>
          <w:i/>
          <w:iCs/>
          <w:sz w:val="22"/>
        </w:rPr>
        <w:t> </w:t>
      </w:r>
      <w:r w:rsidR="00FB7742">
        <w:rPr>
          <w:rFonts w:asciiTheme="minorHAnsi" w:hAnsiTheme="minorHAnsi" w:cstheme="minorHAnsi"/>
          <w:sz w:val="22"/>
        </w:rPr>
        <w:t>»</w:t>
      </w:r>
      <w:r w:rsidRPr="009A65C4">
        <w:rPr>
          <w:rFonts w:asciiTheme="minorHAnsi" w:hAnsiTheme="minorHAnsi" w:cstheme="minorHAnsi"/>
          <w:sz w:val="22"/>
        </w:rPr>
        <w:t>) ; et</w:t>
      </w:r>
    </w:p>
    <w:p w14:paraId="4A265843" w14:textId="77777777" w:rsidR="009A65C4" w:rsidRPr="009A65C4" w:rsidRDefault="009A65C4" w:rsidP="009A65C4">
      <w:pPr>
        <w:pStyle w:val="Paragraphedeliste"/>
        <w:keepLines/>
        <w:numPr>
          <w:ilvl w:val="0"/>
          <w:numId w:val="2"/>
        </w:numPr>
        <w:tabs>
          <w:tab w:val="clear" w:pos="782"/>
          <w:tab w:val="num" w:pos="426"/>
        </w:tabs>
        <w:spacing w:before="0" w:line="312" w:lineRule="auto"/>
        <w:ind w:left="426" w:hanging="426"/>
        <w:contextualSpacing w:val="0"/>
        <w:rPr>
          <w:rFonts w:asciiTheme="minorHAnsi" w:hAnsiTheme="minorHAnsi" w:cstheme="minorHAnsi"/>
          <w:sz w:val="22"/>
        </w:rPr>
      </w:pPr>
      <w:proofErr w:type="gramStart"/>
      <w:r w:rsidRPr="009A65C4">
        <w:rPr>
          <w:rFonts w:asciiTheme="minorHAnsi" w:hAnsiTheme="minorHAnsi" w:cstheme="minorHAnsi"/>
          <w:sz w:val="22"/>
        </w:rPr>
        <w:t>de</w:t>
      </w:r>
      <w:proofErr w:type="gramEnd"/>
      <w:r w:rsidRPr="009A65C4">
        <w:rPr>
          <w:rFonts w:asciiTheme="minorHAnsi" w:hAnsiTheme="minorHAnsi" w:cstheme="minorHAnsi"/>
          <w:sz w:val="22"/>
        </w:rPr>
        <w:t xml:space="preserve"> fixer sa rémunération mensuelle brute à 8.595,85 euros (au lieu de 7.814,41 euros), soit 103.150,20 euros bruts annuels, hors prime d’ancienneté, et hors prime de vacances selon la convention collective. Cette rémunération mensuelle inclut la rémunération mensuelle brute de Directeur Général de 781,44 euros avec effet à compter du 31 août 2022.</w:t>
      </w:r>
    </w:p>
    <w:p w14:paraId="3C14DA3B" w14:textId="77777777" w:rsidR="009A65C4" w:rsidRPr="009A65C4" w:rsidRDefault="009A65C4" w:rsidP="009A65C4">
      <w:pPr>
        <w:keepNext/>
        <w:keepLines/>
        <w:spacing w:after="120" w:line="312" w:lineRule="auto"/>
        <w:jc w:val="both"/>
        <w:rPr>
          <w:rFonts w:cstheme="minorHAnsi"/>
          <w:b/>
          <w:bCs/>
          <w:i/>
          <w:iCs/>
          <w:color w:val="002060"/>
        </w:rPr>
      </w:pPr>
      <w:r w:rsidRPr="009A65C4">
        <w:rPr>
          <w:rFonts w:cstheme="minorHAnsi"/>
          <w:b/>
          <w:bCs/>
          <w:i/>
          <w:iCs/>
          <w:color w:val="002060"/>
        </w:rPr>
        <w:lastRenderedPageBreak/>
        <w:t>Rémunération exceptionnelle </w:t>
      </w:r>
    </w:p>
    <w:p w14:paraId="0704E5C0" w14:textId="77777777" w:rsidR="009A65C4" w:rsidRPr="009A65C4" w:rsidRDefault="009A65C4" w:rsidP="009A65C4">
      <w:pPr>
        <w:keepLines/>
        <w:spacing w:after="120" w:line="312" w:lineRule="auto"/>
        <w:jc w:val="both"/>
        <w:rPr>
          <w:rFonts w:cstheme="minorHAnsi"/>
        </w:rPr>
      </w:pPr>
      <w:r w:rsidRPr="009A65C4">
        <w:rPr>
          <w:rFonts w:cstheme="minorHAnsi"/>
        </w:rPr>
        <w:t>Le Conseil d’administration pourrait décider d’allouer au Directeur Général une rémunération exceptionnelle en cas de réalisation au cours de l’exercice concerné d’opérations exceptionnelles visant à accélérer la croissance et la performance de la Société. Son montant serait déterminé en fonction de la complexité et de la taille des opérations réalisées.</w:t>
      </w:r>
    </w:p>
    <w:p w14:paraId="61EEA1D5" w14:textId="77777777" w:rsidR="009A65C4" w:rsidRPr="009A65C4" w:rsidRDefault="009A65C4" w:rsidP="009A65C4">
      <w:pPr>
        <w:keepLines/>
        <w:spacing w:after="120" w:line="312" w:lineRule="auto"/>
        <w:jc w:val="both"/>
        <w:rPr>
          <w:rFonts w:cstheme="minorHAnsi"/>
        </w:rPr>
      </w:pPr>
      <w:r w:rsidRPr="009A65C4">
        <w:rPr>
          <w:rFonts w:cstheme="minorHAnsi"/>
        </w:rPr>
        <w:t>Il est rappelé que dans l’hypothèse où le Conseil d’administration déciderait d’attribuer une rémunération exceptionnelle au Directeur Général au titre de l’exercice 2023, le versement de cette rémunération serait conditionné à l’approbation par l’Assemblée Générale Ordinaire à tenir en 2024 les éléments de du Directeur Général concerné.</w:t>
      </w:r>
    </w:p>
    <w:p w14:paraId="1AC3533B" w14:textId="77777777" w:rsidR="009A65C4" w:rsidRPr="009A65C4" w:rsidRDefault="009A65C4" w:rsidP="009A65C4">
      <w:pPr>
        <w:keepNext/>
        <w:keepLines/>
        <w:spacing w:after="120" w:line="312" w:lineRule="auto"/>
        <w:jc w:val="both"/>
        <w:rPr>
          <w:rFonts w:cstheme="minorHAnsi"/>
          <w:b/>
          <w:bCs/>
          <w:i/>
          <w:iCs/>
          <w:color w:val="002060"/>
        </w:rPr>
      </w:pPr>
      <w:r w:rsidRPr="009A65C4">
        <w:rPr>
          <w:rFonts w:cstheme="minorHAnsi"/>
          <w:b/>
          <w:bCs/>
          <w:i/>
          <w:iCs/>
          <w:color w:val="002060"/>
        </w:rPr>
        <w:t>Complémentaire santé, prévoyance et retraite complémentaire :</w:t>
      </w:r>
    </w:p>
    <w:p w14:paraId="525CB2A8" w14:textId="77777777" w:rsidR="009A65C4" w:rsidRPr="009A65C4" w:rsidRDefault="009A65C4" w:rsidP="009A65C4">
      <w:pPr>
        <w:keepLines/>
        <w:spacing w:after="120" w:line="312" w:lineRule="auto"/>
        <w:jc w:val="both"/>
        <w:rPr>
          <w:rFonts w:cstheme="minorHAnsi"/>
        </w:rPr>
      </w:pPr>
      <w:r w:rsidRPr="009A65C4">
        <w:rPr>
          <w:rFonts w:cstheme="minorHAnsi"/>
        </w:rPr>
        <w:t>Le Directeur Général bénéficie des assurances de complémentaire santé, prévoyance et retraite complémentaire dans les mêmes conditions que les salariés de la Société.</w:t>
      </w:r>
    </w:p>
    <w:p w14:paraId="493EC806" w14:textId="77777777" w:rsidR="009A65C4" w:rsidRPr="009A65C4" w:rsidRDefault="009A65C4" w:rsidP="009A65C4">
      <w:pPr>
        <w:keepLines/>
        <w:spacing w:after="120" w:line="312" w:lineRule="auto"/>
        <w:jc w:val="both"/>
        <w:rPr>
          <w:rFonts w:cstheme="minorHAnsi"/>
          <w:b/>
          <w:bCs/>
          <w:i/>
          <w:iCs/>
          <w:color w:val="002060"/>
        </w:rPr>
      </w:pPr>
      <w:r w:rsidRPr="009A65C4">
        <w:rPr>
          <w:rFonts w:cstheme="minorHAnsi"/>
          <w:b/>
          <w:bCs/>
          <w:i/>
          <w:iCs/>
          <w:color w:val="002060"/>
        </w:rPr>
        <w:t>Avantages en nature</w:t>
      </w:r>
    </w:p>
    <w:p w14:paraId="088C64BA" w14:textId="77777777" w:rsidR="009A65C4" w:rsidRPr="009A65C4" w:rsidRDefault="009A65C4" w:rsidP="009A65C4">
      <w:pPr>
        <w:keepLines/>
        <w:spacing w:after="120" w:line="312" w:lineRule="auto"/>
        <w:jc w:val="both"/>
        <w:rPr>
          <w:rFonts w:cstheme="minorHAnsi"/>
        </w:rPr>
      </w:pPr>
      <w:r w:rsidRPr="009A65C4">
        <w:rPr>
          <w:rFonts w:cstheme="minorHAnsi"/>
        </w:rPr>
        <w:t xml:space="preserve">Le Directeur Général peut bénéficier d’un véhicule de fonction et d’une assurance perte d’emploi type GSC pour couvrir, s’il y a lieu, le cas de perte involontaire de son mandat. </w:t>
      </w:r>
    </w:p>
    <w:p w14:paraId="0D00DF2F" w14:textId="77777777" w:rsidR="009A65C4" w:rsidRPr="009A65C4" w:rsidRDefault="009A65C4" w:rsidP="009A65C4">
      <w:pPr>
        <w:keepLines/>
        <w:spacing w:after="120" w:line="312" w:lineRule="auto"/>
        <w:jc w:val="both"/>
        <w:rPr>
          <w:rFonts w:cstheme="minorHAnsi"/>
        </w:rPr>
      </w:pPr>
      <w:r w:rsidRPr="009A65C4">
        <w:rPr>
          <w:rFonts w:cstheme="minorHAnsi"/>
        </w:rPr>
        <w:t>Le Directeur Général n’a pas bénéficié de ces avantages en nature en 2022, étant précisé qu’au titre de son contrat de travail, il bénéficie d’un avantage en nature « véhicule » évalué selon les dispositions légale en vigueur.</w:t>
      </w:r>
    </w:p>
    <w:p w14:paraId="757EB69C" w14:textId="77777777" w:rsidR="009A65C4" w:rsidRPr="009A65C4" w:rsidRDefault="009A65C4" w:rsidP="009A65C4">
      <w:pPr>
        <w:keepLines/>
        <w:spacing w:after="120" w:line="312" w:lineRule="auto"/>
        <w:jc w:val="both"/>
        <w:rPr>
          <w:rFonts w:cstheme="minorHAnsi"/>
          <w:b/>
          <w:bCs/>
          <w:i/>
          <w:iCs/>
          <w:color w:val="002060"/>
        </w:rPr>
      </w:pPr>
      <w:r w:rsidRPr="009A65C4">
        <w:rPr>
          <w:rFonts w:cstheme="minorHAnsi"/>
          <w:b/>
          <w:bCs/>
          <w:i/>
          <w:iCs/>
          <w:color w:val="002060"/>
        </w:rPr>
        <w:t>Indemnité de fin de carrière</w:t>
      </w:r>
    </w:p>
    <w:p w14:paraId="193062C7" w14:textId="77777777" w:rsidR="009A65C4" w:rsidRPr="009A65C4" w:rsidRDefault="009A65C4" w:rsidP="009A65C4">
      <w:pPr>
        <w:keepLines/>
        <w:spacing w:after="120" w:line="312" w:lineRule="auto"/>
        <w:jc w:val="both"/>
        <w:rPr>
          <w:rFonts w:cstheme="minorHAnsi"/>
        </w:rPr>
      </w:pPr>
      <w:r w:rsidRPr="009A65C4">
        <w:rPr>
          <w:rFonts w:cstheme="minorHAnsi"/>
        </w:rPr>
        <w:t>Le Directeur Général bénéficie dans les mêmes conditions que les salariés de la Société, d’une indemnité de fin de carrière dans les conditions fixées par la convention collective applicable.</w:t>
      </w:r>
    </w:p>
    <w:p w14:paraId="704A398B" w14:textId="77777777" w:rsidR="009A65C4" w:rsidRPr="009A65C4" w:rsidRDefault="009A65C4" w:rsidP="009A65C4">
      <w:pPr>
        <w:keepNext/>
        <w:keepLines/>
        <w:spacing w:after="120" w:line="312" w:lineRule="auto"/>
        <w:jc w:val="both"/>
        <w:rPr>
          <w:rFonts w:cstheme="minorHAnsi"/>
          <w:b/>
          <w:bCs/>
          <w:i/>
          <w:iCs/>
          <w:color w:val="002060"/>
        </w:rPr>
      </w:pPr>
      <w:r w:rsidRPr="009A65C4">
        <w:rPr>
          <w:rFonts w:cstheme="minorHAnsi"/>
          <w:b/>
          <w:bCs/>
          <w:i/>
          <w:iCs/>
          <w:color w:val="002060"/>
        </w:rPr>
        <w:t>Autres éléments de rémunération</w:t>
      </w:r>
    </w:p>
    <w:p w14:paraId="6A8E6DBF" w14:textId="77777777" w:rsidR="009A65C4" w:rsidRPr="009A65C4" w:rsidRDefault="009A65C4" w:rsidP="009A65C4">
      <w:pPr>
        <w:keepLines/>
        <w:spacing w:after="120" w:line="312" w:lineRule="auto"/>
        <w:jc w:val="both"/>
        <w:rPr>
          <w:rFonts w:cstheme="minorHAnsi"/>
        </w:rPr>
      </w:pPr>
      <w:r w:rsidRPr="009A65C4">
        <w:rPr>
          <w:rFonts w:cstheme="minorHAnsi"/>
        </w:rPr>
        <w:t xml:space="preserve">Aucun autre élément de rémunération que ceux visés ci-avant ne pourra être attribué ou versé au Directeur Général de la Société au titre de son mandat (rémunération variable annuelle ou long terme, rémunération en actions, </w:t>
      </w:r>
      <w:proofErr w:type="gramStart"/>
      <w:r w:rsidRPr="009A65C4">
        <w:rPr>
          <w:rFonts w:cstheme="minorHAnsi"/>
        </w:rPr>
        <w:t>etc….</w:t>
      </w:r>
      <w:proofErr w:type="gramEnd"/>
      <w:r w:rsidRPr="009A65C4">
        <w:rPr>
          <w:rFonts w:cstheme="minorHAnsi"/>
        </w:rPr>
        <w:t xml:space="preserve">.) </w:t>
      </w:r>
    </w:p>
    <w:p w14:paraId="75153A16" w14:textId="77777777" w:rsidR="009A65C4" w:rsidRPr="009A65C4" w:rsidRDefault="009A65C4" w:rsidP="009A65C4">
      <w:pPr>
        <w:keepNext/>
        <w:keepLines/>
        <w:spacing w:after="120" w:line="312" w:lineRule="auto"/>
        <w:jc w:val="both"/>
        <w:rPr>
          <w:rFonts w:cstheme="minorHAnsi"/>
          <w:b/>
          <w:bCs/>
          <w:i/>
          <w:iCs/>
          <w:color w:val="002060"/>
        </w:rPr>
      </w:pPr>
      <w:r w:rsidRPr="009A65C4">
        <w:rPr>
          <w:rFonts w:cstheme="minorHAnsi"/>
          <w:b/>
          <w:bCs/>
          <w:i/>
          <w:iCs/>
          <w:color w:val="002060"/>
        </w:rPr>
        <w:t>Plan d’attribution gratuite d’actions et/ou plan d’option de souscription ou d’achat d’actions</w:t>
      </w:r>
    </w:p>
    <w:p w14:paraId="4A6247F1" w14:textId="77777777" w:rsidR="009A65C4" w:rsidRPr="009A65C4" w:rsidRDefault="009A65C4" w:rsidP="009A65C4">
      <w:pPr>
        <w:keepLines/>
        <w:spacing w:after="120" w:line="312" w:lineRule="auto"/>
        <w:jc w:val="both"/>
        <w:rPr>
          <w:rFonts w:cstheme="minorHAnsi"/>
        </w:rPr>
      </w:pPr>
      <w:r w:rsidRPr="009A65C4">
        <w:rPr>
          <w:rFonts w:cstheme="minorHAnsi"/>
        </w:rPr>
        <w:t xml:space="preserve">Les dirigeants mandataires sociaux sont éligibles à l’attribution gratuite d’actions et/ou à l’attribution d’options de souscription ou d’achat d’actions de la Société, conformément aux préconisations du Code Middlenext, sous condition de performance, pouvant être liées notamment à l’état d’avancement des programmes de R&amp;D, à la mise en place de nouveaux partenariats ou toute autre condition pertinente traduisant l’intérêt à moyen terme de la Société et de ses actionnaires.  </w:t>
      </w:r>
    </w:p>
    <w:p w14:paraId="376EBC65" w14:textId="77777777" w:rsidR="009A65C4" w:rsidRPr="008B7560" w:rsidRDefault="009A65C4" w:rsidP="008B7560">
      <w:pPr>
        <w:keepNext/>
        <w:keepLines/>
        <w:spacing w:after="120" w:line="312" w:lineRule="auto"/>
        <w:jc w:val="both"/>
        <w:rPr>
          <w:rFonts w:cstheme="minorHAnsi"/>
          <w:b/>
          <w:bCs/>
          <w:color w:val="002060"/>
          <w:u w:val="single"/>
        </w:rPr>
      </w:pPr>
      <w:r w:rsidRPr="008B7560">
        <w:rPr>
          <w:rFonts w:cstheme="minorHAnsi"/>
          <w:b/>
          <w:bCs/>
          <w:color w:val="002060"/>
          <w:u w:val="single"/>
        </w:rPr>
        <w:lastRenderedPageBreak/>
        <w:t>Politique de rémunération des mandataires sociaux non dirigeants</w:t>
      </w:r>
    </w:p>
    <w:p w14:paraId="2E3E5259" w14:textId="77777777" w:rsidR="009A65C4" w:rsidRPr="009A65C4" w:rsidRDefault="009A65C4" w:rsidP="009A65C4">
      <w:pPr>
        <w:keepNext/>
        <w:keepLines/>
        <w:spacing w:after="120" w:line="312" w:lineRule="auto"/>
        <w:jc w:val="both"/>
        <w:rPr>
          <w:rFonts w:cstheme="minorHAnsi"/>
          <w:b/>
          <w:bCs/>
          <w:i/>
          <w:iCs/>
          <w:color w:val="002060"/>
        </w:rPr>
      </w:pPr>
      <w:r w:rsidRPr="009A65C4">
        <w:rPr>
          <w:rFonts w:cstheme="minorHAnsi"/>
          <w:b/>
          <w:bCs/>
          <w:i/>
          <w:iCs/>
          <w:color w:val="002060"/>
        </w:rPr>
        <w:t>Rémunération d’administrateur</w:t>
      </w:r>
    </w:p>
    <w:p w14:paraId="27E9EA23" w14:textId="77777777" w:rsidR="009A65C4" w:rsidRPr="009A65C4" w:rsidRDefault="009A65C4" w:rsidP="009A65C4">
      <w:pPr>
        <w:keepLines/>
        <w:spacing w:after="120" w:line="312" w:lineRule="auto"/>
        <w:jc w:val="both"/>
        <w:rPr>
          <w:rFonts w:cstheme="minorHAnsi"/>
        </w:rPr>
      </w:pPr>
      <w:r w:rsidRPr="009A65C4">
        <w:rPr>
          <w:rFonts w:cstheme="minorHAnsi"/>
        </w:rPr>
        <w:t>Conformément aux dispositions du règlement intérieur du Conseil d’administration, chaque administrateur peut recevoir une rémunération au titre de son mandat social dont le montant est voté par l’Assemblée Générale Ordinaire et dont la répartition est décidée par le Conseil d’Administration, sur avis du comité des nominations et des rémunérations, en tenant compte  pour partie, de l’assiduité des membres du Conseil et le temps qu’ils consacrent à leur fonctions, y compris leur éventuelle participation aux Comités.</w:t>
      </w:r>
    </w:p>
    <w:p w14:paraId="53C81755" w14:textId="77777777" w:rsidR="009A65C4" w:rsidRPr="009A65C4" w:rsidRDefault="009A65C4" w:rsidP="009A65C4">
      <w:pPr>
        <w:keepLines/>
        <w:spacing w:after="120" w:line="312" w:lineRule="auto"/>
        <w:jc w:val="both"/>
        <w:rPr>
          <w:rFonts w:cstheme="minorHAnsi"/>
        </w:rPr>
      </w:pPr>
      <w:r w:rsidRPr="009A65C4">
        <w:rPr>
          <w:rFonts w:cstheme="minorHAnsi"/>
        </w:rPr>
        <w:t>Aux termes des délibérations en date du 23 mars 2023, l’assemblée générale a décidé de fixer le montant global de la rémunération des membres du Conseil d’administration à 78.000 euros à compter du 1</w:t>
      </w:r>
      <w:r w:rsidRPr="009A65C4">
        <w:rPr>
          <w:rFonts w:cstheme="minorHAnsi"/>
          <w:vertAlign w:val="superscript"/>
        </w:rPr>
        <w:t>er</w:t>
      </w:r>
      <w:r w:rsidRPr="009A65C4">
        <w:rPr>
          <w:rFonts w:cstheme="minorHAnsi"/>
        </w:rPr>
        <w:t xml:space="preserve"> janvier 2022. Compte tenu de l’évolution de la composition du Conseil d’administration et des comités du Conseil notamment, il est proposé de soumettre à l’assemblée générale appelée à approuver les comptes de l’exercice clos le 31 décembre 2022 ce montant à 90.000 euros. Il est précisé que la société ABL SA a indiqué renoncer à sa quote-part de rémunération d’administration (soit un montant global de 8.000 euros au titre du mandat d’administrateur de cette dernière). </w:t>
      </w:r>
    </w:p>
    <w:p w14:paraId="3E33F0D2" w14:textId="77777777" w:rsidR="009A65C4" w:rsidRPr="009A65C4" w:rsidRDefault="009A65C4" w:rsidP="009A65C4">
      <w:pPr>
        <w:keepNext/>
        <w:keepLines/>
        <w:spacing w:after="120" w:line="312" w:lineRule="auto"/>
        <w:jc w:val="both"/>
        <w:rPr>
          <w:rFonts w:cstheme="minorHAnsi"/>
        </w:rPr>
      </w:pPr>
      <w:r w:rsidRPr="009A65C4">
        <w:rPr>
          <w:rFonts w:cstheme="minorHAnsi"/>
        </w:rPr>
        <w:t>Le Conseil d’administration, sur avis du Comité des nomination et des rémunérations a décidé de fixer comme suit les règles de répartition de la rémunération des membres du Conseil, comme suit :</w:t>
      </w:r>
    </w:p>
    <w:p w14:paraId="69AA7311" w14:textId="77777777" w:rsidR="009A65C4" w:rsidRPr="009A65C4" w:rsidRDefault="009A65C4" w:rsidP="009A65C4">
      <w:pPr>
        <w:keepNext/>
        <w:keepLines/>
        <w:spacing w:before="120" w:after="120" w:line="312" w:lineRule="auto"/>
        <w:rPr>
          <w:rFonts w:cstheme="minorHAnsi"/>
          <w:b/>
          <w:bCs/>
          <w:i/>
          <w:iCs/>
          <w:color w:val="002060"/>
        </w:rPr>
      </w:pPr>
      <w:r w:rsidRPr="009A65C4">
        <w:rPr>
          <w:rFonts w:cstheme="minorHAnsi"/>
          <w:noProof/>
        </w:rPr>
        <w:drawing>
          <wp:inline distT="0" distB="0" distL="0" distR="0" wp14:anchorId="4B0EAE6C" wp14:editId="0D464393">
            <wp:extent cx="5760720" cy="1941195"/>
            <wp:effectExtent l="0" t="0" r="0" b="1905"/>
            <wp:docPr id="535585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41195"/>
                    </a:xfrm>
                    <a:prstGeom prst="rect">
                      <a:avLst/>
                    </a:prstGeom>
                    <a:noFill/>
                    <a:ln>
                      <a:noFill/>
                    </a:ln>
                  </pic:spPr>
                </pic:pic>
              </a:graphicData>
            </a:graphic>
          </wp:inline>
        </w:drawing>
      </w:r>
    </w:p>
    <w:p w14:paraId="4B0D37A7" w14:textId="77777777" w:rsidR="009A65C4" w:rsidRPr="009A65C4" w:rsidRDefault="009A65C4" w:rsidP="009A65C4">
      <w:pPr>
        <w:keepNext/>
        <w:keepLines/>
        <w:spacing w:before="120" w:after="120" w:line="312" w:lineRule="auto"/>
        <w:rPr>
          <w:rFonts w:cstheme="minorHAnsi"/>
          <w:b/>
          <w:bCs/>
          <w:i/>
          <w:iCs/>
          <w:color w:val="002060"/>
        </w:rPr>
      </w:pPr>
      <w:r w:rsidRPr="009A65C4">
        <w:rPr>
          <w:rFonts w:cstheme="minorHAnsi"/>
          <w:b/>
          <w:bCs/>
          <w:i/>
          <w:iCs/>
          <w:color w:val="002060"/>
        </w:rPr>
        <w:t>Rémunérations exceptionnelles</w:t>
      </w:r>
    </w:p>
    <w:p w14:paraId="551CF1C2" w14:textId="77777777" w:rsidR="009A65C4" w:rsidRPr="009A65C4" w:rsidRDefault="009A65C4" w:rsidP="009A65C4">
      <w:pPr>
        <w:keepLines/>
        <w:spacing w:line="312" w:lineRule="auto"/>
        <w:jc w:val="both"/>
        <w:rPr>
          <w:rFonts w:cstheme="minorHAnsi"/>
        </w:rPr>
      </w:pPr>
      <w:r w:rsidRPr="009A65C4">
        <w:rPr>
          <w:rFonts w:cstheme="minorHAnsi"/>
        </w:rPr>
        <w:t>Le Conseil d’administration sur avis du Comité des nominations et des rémunérations, pourra décider d’allouer des rémunérations exceptionnelles pour les missions ou mandats confiés à un ou plusieurs administrateurs, dont le montant sera déterminé en fonction de la complexité de la mission et du temps consacré à cette mission ou mandat.</w:t>
      </w:r>
    </w:p>
    <w:p w14:paraId="5273957D" w14:textId="77777777" w:rsidR="009A65C4" w:rsidRPr="009A65C4" w:rsidRDefault="009A65C4" w:rsidP="009A65C4">
      <w:pPr>
        <w:keepNext/>
        <w:keepLines/>
        <w:spacing w:before="120" w:after="120" w:line="312" w:lineRule="auto"/>
        <w:rPr>
          <w:rFonts w:cstheme="minorHAnsi"/>
          <w:b/>
          <w:bCs/>
          <w:i/>
          <w:iCs/>
          <w:color w:val="002060"/>
        </w:rPr>
      </w:pPr>
      <w:r w:rsidRPr="009A65C4">
        <w:rPr>
          <w:rFonts w:cstheme="minorHAnsi"/>
          <w:b/>
          <w:bCs/>
          <w:i/>
          <w:iCs/>
          <w:color w:val="002060"/>
        </w:rPr>
        <w:t>Remboursement des frais</w:t>
      </w:r>
    </w:p>
    <w:p w14:paraId="373AB979" w14:textId="77777777" w:rsidR="009A65C4" w:rsidRPr="009A65C4" w:rsidRDefault="009A65C4" w:rsidP="009A65C4">
      <w:pPr>
        <w:keepLines/>
        <w:spacing w:line="312" w:lineRule="auto"/>
        <w:jc w:val="both"/>
        <w:rPr>
          <w:rFonts w:cstheme="minorHAnsi"/>
        </w:rPr>
      </w:pPr>
      <w:r w:rsidRPr="009A65C4">
        <w:rPr>
          <w:rFonts w:cstheme="minorHAnsi"/>
        </w:rPr>
        <w:t>En outre, le Conseil d’administration pourra décider autoriser le remboursement des frais de voyage et de déplacement et des dépenses engagées par les administrateurs dans l'intérêt de la Société.</w:t>
      </w:r>
    </w:p>
    <w:p w14:paraId="5C5AB871" w14:textId="77777777" w:rsidR="006D4E52" w:rsidRPr="009A65C4" w:rsidRDefault="006D4E52" w:rsidP="003121A2">
      <w:pPr>
        <w:spacing w:after="120" w:line="240" w:lineRule="auto"/>
        <w:jc w:val="both"/>
        <w:rPr>
          <w:rFonts w:cstheme="minorHAnsi"/>
        </w:rPr>
      </w:pPr>
    </w:p>
    <w:sectPr w:rsidR="006D4E52" w:rsidRPr="009A65C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22D3" w14:textId="77777777" w:rsidR="00856F50" w:rsidRDefault="00856F50" w:rsidP="00856F50">
      <w:pPr>
        <w:spacing w:after="0" w:line="240" w:lineRule="auto"/>
      </w:pPr>
      <w:r>
        <w:separator/>
      </w:r>
    </w:p>
  </w:endnote>
  <w:endnote w:type="continuationSeparator" w:id="0">
    <w:p w14:paraId="337FD7D7" w14:textId="77777777" w:rsidR="00856F50" w:rsidRDefault="00856F50" w:rsidP="0085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Gra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65FE" w14:textId="77777777" w:rsidR="00856F50" w:rsidRDefault="00856F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051C" w14:textId="77777777" w:rsidR="00856F50" w:rsidRDefault="00856F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CF76" w14:textId="77777777" w:rsidR="00856F50" w:rsidRDefault="00856F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8E46" w14:textId="77777777" w:rsidR="00856F50" w:rsidRDefault="00856F50" w:rsidP="00856F50">
      <w:pPr>
        <w:spacing w:after="0" w:line="240" w:lineRule="auto"/>
      </w:pPr>
      <w:r>
        <w:separator/>
      </w:r>
    </w:p>
  </w:footnote>
  <w:footnote w:type="continuationSeparator" w:id="0">
    <w:p w14:paraId="218BDC96" w14:textId="77777777" w:rsidR="00856F50" w:rsidRDefault="00856F50" w:rsidP="0085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4A9A" w14:textId="77777777" w:rsidR="00856F50" w:rsidRDefault="00856F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1747" w14:textId="77777777" w:rsidR="00856F50" w:rsidRDefault="00856F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1884" w14:textId="77777777" w:rsidR="00856F50" w:rsidRDefault="00856F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94D"/>
    <w:multiLevelType w:val="multilevel"/>
    <w:tmpl w:val="0576DD76"/>
    <w:lvl w:ilvl="0">
      <w:start w:val="1"/>
      <w:numFmt w:val="decimal"/>
      <w:pStyle w:val="Titre1"/>
      <w:lvlText w:val="%1."/>
      <w:lvlJc w:val="left"/>
      <w:pPr>
        <w:ind w:left="360" w:hanging="360"/>
      </w:pPr>
      <w:rPr>
        <w:rFonts w:ascii="Arial Gras" w:hAnsi="Arial Gras" w:hint="default"/>
        <w:b/>
        <w:i w:val="0"/>
        <w:sz w:val="28"/>
        <w:szCs w:val="28"/>
      </w:rPr>
    </w:lvl>
    <w:lvl w:ilvl="1">
      <w:start w:val="1"/>
      <w:numFmt w:val="decimal"/>
      <w:pStyle w:val="Titre2"/>
      <w:lvlText w:val="%1.%2"/>
      <w:lvlJc w:val="left"/>
      <w:pPr>
        <w:ind w:left="2561" w:hanging="576"/>
      </w:pPr>
    </w:lvl>
    <w:lvl w:ilvl="2">
      <w:start w:val="1"/>
      <w:numFmt w:val="decimal"/>
      <w:pStyle w:val="Titre3"/>
      <w:lvlText w:val="%1.%2.%3"/>
      <w:lvlJc w:val="left"/>
      <w:pPr>
        <w:ind w:left="720" w:hanging="720"/>
      </w:pPr>
    </w:lvl>
    <w:lvl w:ilvl="3">
      <w:start w:val="1"/>
      <w:numFmt w:val="decimal"/>
      <w:pStyle w:val="Titre4"/>
      <w:lvlText w:val="%1.%2.%3.%4"/>
      <w:lvlJc w:val="left"/>
      <w:pPr>
        <w:ind w:left="1574" w:hanging="864"/>
      </w:pPr>
      <w:rPr>
        <w:color w:val="4472C4" w:themeColor="accent1"/>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90601AD"/>
    <w:multiLevelType w:val="multilevel"/>
    <w:tmpl w:val="071291AA"/>
    <w:lvl w:ilvl="0">
      <w:start w:val="1"/>
      <w:numFmt w:val="bullet"/>
      <w:lvlText w:val="-"/>
      <w:lvlJc w:val="left"/>
      <w:pPr>
        <w:tabs>
          <w:tab w:val="num" w:pos="782"/>
        </w:tabs>
        <w:ind w:left="782" w:hanging="782"/>
      </w:pPr>
      <w:rPr>
        <w:rFonts w:ascii="Times New Roman" w:hAnsi="Times New Roman" w:cs="Times New Roman" w:hint="default"/>
        <w:b/>
        <w:i w:val="0"/>
        <w:sz w:val="18"/>
      </w:rPr>
    </w:lvl>
    <w:lvl w:ilvl="1">
      <w:start w:val="1"/>
      <w:numFmt w:val="decimal"/>
      <w:lvlText w:val="%1.%2"/>
      <w:lvlJc w:val="left"/>
      <w:pPr>
        <w:tabs>
          <w:tab w:val="num" w:pos="782"/>
        </w:tabs>
        <w:ind w:left="782" w:hanging="782"/>
      </w:pPr>
      <w:rPr>
        <w:rFonts w:hint="default"/>
        <w:b w:val="0"/>
        <w:i w:val="0"/>
        <w:sz w:val="18"/>
        <w:szCs w:val="18"/>
      </w:rPr>
    </w:lvl>
    <w:lvl w:ilvl="2">
      <w:start w:val="1"/>
      <w:numFmt w:val="lowerLetter"/>
      <w:lvlText w:val="(%3)"/>
      <w:lvlJc w:val="left"/>
      <w:pPr>
        <w:tabs>
          <w:tab w:val="num" w:pos="1524"/>
        </w:tabs>
        <w:ind w:left="1524" w:hanging="624"/>
      </w:pPr>
      <w:rPr>
        <w:rFonts w:hint="default"/>
        <w:b w:val="0"/>
        <w:i w:val="0"/>
        <w:sz w:val="18"/>
        <w:szCs w:val="18"/>
      </w:rPr>
    </w:lvl>
    <w:lvl w:ilvl="3">
      <w:start w:val="1"/>
      <w:numFmt w:val="lowerRoman"/>
      <w:lvlText w:val="(%4)"/>
      <w:lvlJc w:val="left"/>
      <w:pPr>
        <w:tabs>
          <w:tab w:val="num" w:pos="2030"/>
        </w:tabs>
        <w:ind w:left="2030" w:hanging="624"/>
      </w:pPr>
      <w:rPr>
        <w:rFonts w:hint="default"/>
        <w:b w:val="0"/>
        <w:i w:val="0"/>
        <w:sz w:val="18"/>
        <w:szCs w:val="18"/>
      </w:rPr>
    </w:lvl>
    <w:lvl w:ilvl="4">
      <w:start w:val="1"/>
      <w:numFmt w:val="upperLetter"/>
      <w:lvlText w:val="(%5)"/>
      <w:lvlJc w:val="left"/>
      <w:pPr>
        <w:tabs>
          <w:tab w:val="num" w:pos="2653"/>
        </w:tabs>
        <w:ind w:left="2653" w:hanging="623"/>
      </w:pPr>
      <w:rPr>
        <w:rFonts w:hint="default"/>
        <w:b w:val="0"/>
        <w:i w:val="0"/>
        <w:sz w:val="18"/>
        <w:szCs w:val="18"/>
      </w:rPr>
    </w:lvl>
    <w:lvl w:ilvl="5">
      <w:start w:val="27"/>
      <w:numFmt w:val="lowerLetter"/>
      <w:lvlText w:val="(%6)"/>
      <w:lvlJc w:val="left"/>
      <w:pPr>
        <w:tabs>
          <w:tab w:val="num" w:pos="3277"/>
        </w:tabs>
        <w:ind w:left="3277" w:hanging="624"/>
      </w:pPr>
      <w:rPr>
        <w:rFonts w:hint="default"/>
        <w:b w:val="0"/>
        <w:i w:val="0"/>
        <w:sz w:val="18"/>
        <w:szCs w:val="18"/>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30CC510D"/>
    <w:multiLevelType w:val="multilevel"/>
    <w:tmpl w:val="071291AA"/>
    <w:lvl w:ilvl="0">
      <w:start w:val="1"/>
      <w:numFmt w:val="bullet"/>
      <w:lvlText w:val="-"/>
      <w:lvlJc w:val="left"/>
      <w:pPr>
        <w:tabs>
          <w:tab w:val="num" w:pos="782"/>
        </w:tabs>
        <w:ind w:left="782" w:hanging="782"/>
      </w:pPr>
      <w:rPr>
        <w:rFonts w:ascii="Times New Roman" w:hAnsi="Times New Roman" w:cs="Times New Roman" w:hint="default"/>
        <w:b/>
        <w:i w:val="0"/>
        <w:sz w:val="18"/>
      </w:rPr>
    </w:lvl>
    <w:lvl w:ilvl="1">
      <w:start w:val="1"/>
      <w:numFmt w:val="decimal"/>
      <w:lvlText w:val="%1.%2"/>
      <w:lvlJc w:val="left"/>
      <w:pPr>
        <w:tabs>
          <w:tab w:val="num" w:pos="782"/>
        </w:tabs>
        <w:ind w:left="782" w:hanging="782"/>
      </w:pPr>
      <w:rPr>
        <w:rFonts w:hint="default"/>
        <w:b w:val="0"/>
        <w:i w:val="0"/>
        <w:sz w:val="18"/>
        <w:szCs w:val="18"/>
      </w:rPr>
    </w:lvl>
    <w:lvl w:ilvl="2">
      <w:start w:val="1"/>
      <w:numFmt w:val="lowerLetter"/>
      <w:lvlText w:val="(%3)"/>
      <w:lvlJc w:val="left"/>
      <w:pPr>
        <w:tabs>
          <w:tab w:val="num" w:pos="1524"/>
        </w:tabs>
        <w:ind w:left="1524" w:hanging="624"/>
      </w:pPr>
      <w:rPr>
        <w:rFonts w:hint="default"/>
        <w:b w:val="0"/>
        <w:i w:val="0"/>
        <w:sz w:val="18"/>
        <w:szCs w:val="18"/>
      </w:rPr>
    </w:lvl>
    <w:lvl w:ilvl="3">
      <w:start w:val="1"/>
      <w:numFmt w:val="lowerRoman"/>
      <w:lvlText w:val="(%4)"/>
      <w:lvlJc w:val="left"/>
      <w:pPr>
        <w:tabs>
          <w:tab w:val="num" w:pos="2030"/>
        </w:tabs>
        <w:ind w:left="2030" w:hanging="624"/>
      </w:pPr>
      <w:rPr>
        <w:rFonts w:hint="default"/>
        <w:b w:val="0"/>
        <w:i w:val="0"/>
        <w:sz w:val="18"/>
        <w:szCs w:val="18"/>
      </w:rPr>
    </w:lvl>
    <w:lvl w:ilvl="4">
      <w:start w:val="1"/>
      <w:numFmt w:val="upperLetter"/>
      <w:lvlText w:val="(%5)"/>
      <w:lvlJc w:val="left"/>
      <w:pPr>
        <w:tabs>
          <w:tab w:val="num" w:pos="2653"/>
        </w:tabs>
        <w:ind w:left="2653" w:hanging="623"/>
      </w:pPr>
      <w:rPr>
        <w:rFonts w:hint="default"/>
        <w:b w:val="0"/>
        <w:i w:val="0"/>
        <w:sz w:val="18"/>
        <w:szCs w:val="18"/>
      </w:rPr>
    </w:lvl>
    <w:lvl w:ilvl="5">
      <w:start w:val="27"/>
      <w:numFmt w:val="lowerLetter"/>
      <w:lvlText w:val="(%6)"/>
      <w:lvlJc w:val="left"/>
      <w:pPr>
        <w:tabs>
          <w:tab w:val="num" w:pos="3277"/>
        </w:tabs>
        <w:ind w:left="3277" w:hanging="624"/>
      </w:pPr>
      <w:rPr>
        <w:rFonts w:hint="default"/>
        <w:b w:val="0"/>
        <w:i w:val="0"/>
        <w:sz w:val="18"/>
        <w:szCs w:val="18"/>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7E08584E"/>
    <w:multiLevelType w:val="hybridMultilevel"/>
    <w:tmpl w:val="07825F12"/>
    <w:lvl w:ilvl="0" w:tplc="238E55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6845114">
    <w:abstractNumId w:val="0"/>
  </w:num>
  <w:num w:numId="2" w16cid:durableId="543062943">
    <w:abstractNumId w:val="2"/>
  </w:num>
  <w:num w:numId="3" w16cid:durableId="1737968810">
    <w:abstractNumId w:val="1"/>
  </w:num>
  <w:num w:numId="4" w16cid:durableId="1806922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8A"/>
    <w:rsid w:val="0006442D"/>
    <w:rsid w:val="00095E80"/>
    <w:rsid w:val="000D54D3"/>
    <w:rsid w:val="000E2058"/>
    <w:rsid w:val="00173B4E"/>
    <w:rsid w:val="002B4084"/>
    <w:rsid w:val="003121A2"/>
    <w:rsid w:val="0038560C"/>
    <w:rsid w:val="0042403D"/>
    <w:rsid w:val="00453F50"/>
    <w:rsid w:val="0048282E"/>
    <w:rsid w:val="004E24CF"/>
    <w:rsid w:val="0052062E"/>
    <w:rsid w:val="00593F56"/>
    <w:rsid w:val="005975D7"/>
    <w:rsid w:val="005A1C03"/>
    <w:rsid w:val="0062642A"/>
    <w:rsid w:val="00631433"/>
    <w:rsid w:val="00690B68"/>
    <w:rsid w:val="006D4E52"/>
    <w:rsid w:val="006D5557"/>
    <w:rsid w:val="00744A17"/>
    <w:rsid w:val="00772C8A"/>
    <w:rsid w:val="007E1FEE"/>
    <w:rsid w:val="0084269C"/>
    <w:rsid w:val="00856F50"/>
    <w:rsid w:val="008B7560"/>
    <w:rsid w:val="00951A4F"/>
    <w:rsid w:val="009609CC"/>
    <w:rsid w:val="009A65C4"/>
    <w:rsid w:val="00A70BED"/>
    <w:rsid w:val="00A9077B"/>
    <w:rsid w:val="00BB4E49"/>
    <w:rsid w:val="00C61D93"/>
    <w:rsid w:val="00C96A30"/>
    <w:rsid w:val="00DF7F17"/>
    <w:rsid w:val="00E8478F"/>
    <w:rsid w:val="00EB65F8"/>
    <w:rsid w:val="00EC12D1"/>
    <w:rsid w:val="00F757F9"/>
    <w:rsid w:val="00FB77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46E7"/>
  <w15:chartTrackingRefBased/>
  <w15:docId w15:val="{640DAFA5-01E2-4B1C-8B5A-25FEACC5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premier niveau"/>
    <w:basedOn w:val="Normal"/>
    <w:next w:val="Normal"/>
    <w:link w:val="Titre1Car"/>
    <w:autoRedefine/>
    <w:uiPriority w:val="9"/>
    <w:qFormat/>
    <w:rsid w:val="009A65C4"/>
    <w:pPr>
      <w:keepNext/>
      <w:keepLines/>
      <w:numPr>
        <w:numId w:val="1"/>
      </w:numPr>
      <w:spacing w:before="120" w:after="120"/>
      <w:jc w:val="both"/>
      <w:outlineLvl w:val="0"/>
    </w:pPr>
    <w:rPr>
      <w:rFonts w:ascii="Arial" w:eastAsiaTheme="majorEastAsia" w:hAnsi="Arial" w:cs="Times New Roman"/>
      <w:b/>
      <w:bCs/>
      <w:color w:val="425B74"/>
      <w:kern w:val="0"/>
      <w:sz w:val="28"/>
      <w:szCs w:val="28"/>
      <w14:textFill>
        <w14:solidFill>
          <w14:srgbClr w14:val="425B74">
            <w14:lumMod w14:val="50000"/>
          </w14:srgbClr>
        </w14:solidFill>
      </w14:textFill>
      <w14:ligatures w14:val="none"/>
    </w:rPr>
  </w:style>
  <w:style w:type="paragraph" w:styleId="Titre2">
    <w:name w:val="heading 2"/>
    <w:basedOn w:val="Normal"/>
    <w:link w:val="Titre2Car"/>
    <w:uiPriority w:val="9"/>
    <w:unhideWhenUsed/>
    <w:qFormat/>
    <w:rsid w:val="009A65C4"/>
    <w:pPr>
      <w:keepNext/>
      <w:keepLines/>
      <w:numPr>
        <w:ilvl w:val="1"/>
        <w:numId w:val="1"/>
      </w:numPr>
      <w:spacing w:before="360" w:after="240"/>
      <w:ind w:left="576"/>
      <w:jc w:val="both"/>
      <w:outlineLvl w:val="1"/>
    </w:pPr>
    <w:rPr>
      <w:rFonts w:ascii="Arial Gras" w:eastAsiaTheme="majorEastAsia" w:hAnsi="Arial Gras" w:cs="Times New Roman"/>
      <w:b/>
      <w:color w:val="4472C4" w:themeColor="accent1"/>
      <w:kern w:val="0"/>
      <w:sz w:val="24"/>
      <w:szCs w:val="24"/>
      <w14:ligatures w14:val="none"/>
    </w:rPr>
  </w:style>
  <w:style w:type="paragraph" w:styleId="Titre3">
    <w:name w:val="heading 3"/>
    <w:basedOn w:val="Normal"/>
    <w:next w:val="Normal"/>
    <w:link w:val="Titre3Car"/>
    <w:uiPriority w:val="9"/>
    <w:unhideWhenUsed/>
    <w:qFormat/>
    <w:rsid w:val="009A65C4"/>
    <w:pPr>
      <w:keepNext/>
      <w:keepLines/>
      <w:numPr>
        <w:ilvl w:val="2"/>
        <w:numId w:val="1"/>
      </w:numPr>
      <w:spacing w:before="360" w:after="120"/>
      <w:jc w:val="both"/>
      <w:outlineLvl w:val="2"/>
    </w:pPr>
    <w:rPr>
      <w:rFonts w:ascii="Arial Gras" w:eastAsiaTheme="majorEastAsia" w:hAnsi="Arial Gras" w:cstheme="majorBidi"/>
      <w:b/>
      <w:color w:val="4472C4" w:themeColor="accent1"/>
      <w:kern w:val="0"/>
      <w14:ligatures w14:val="none"/>
    </w:rPr>
  </w:style>
  <w:style w:type="paragraph" w:styleId="Titre4">
    <w:name w:val="heading 4"/>
    <w:basedOn w:val="Paragraphedeliste"/>
    <w:next w:val="Normal"/>
    <w:link w:val="Titre4Car"/>
    <w:uiPriority w:val="9"/>
    <w:unhideWhenUsed/>
    <w:qFormat/>
    <w:rsid w:val="009A65C4"/>
    <w:pPr>
      <w:keepNext/>
      <w:keepLines/>
      <w:numPr>
        <w:ilvl w:val="3"/>
        <w:numId w:val="1"/>
      </w:numPr>
      <w:tabs>
        <w:tab w:val="num" w:pos="360"/>
      </w:tabs>
      <w:spacing w:before="240"/>
      <w:ind w:left="720" w:firstLine="0"/>
      <w:contextualSpacing w:val="0"/>
      <w:outlineLvl w:val="3"/>
    </w:pPr>
    <w:rPr>
      <w:rFonts w:cs="Arial"/>
      <w:b/>
      <w:bCs/>
      <w:color w:val="4472C4" w:themeColor="accent1"/>
      <w:szCs w:val="20"/>
      <w14:scene3d>
        <w14:camera w14:prst="orthographicFront"/>
        <w14:lightRig w14:rig="threePt" w14:dir="t">
          <w14:rot w14:lat="0" w14:lon="0" w14:rev="0"/>
        </w14:lightRig>
      </w14:scene3d>
    </w:rPr>
  </w:style>
  <w:style w:type="paragraph" w:styleId="Titre5">
    <w:name w:val="heading 5"/>
    <w:basedOn w:val="Normal"/>
    <w:next w:val="Normal"/>
    <w:link w:val="Titre5Car"/>
    <w:uiPriority w:val="9"/>
    <w:unhideWhenUsed/>
    <w:qFormat/>
    <w:rsid w:val="009A65C4"/>
    <w:pPr>
      <w:keepNext/>
      <w:keepLines/>
      <w:numPr>
        <w:ilvl w:val="4"/>
        <w:numId w:val="1"/>
      </w:numPr>
      <w:spacing w:before="120" w:after="120"/>
      <w:ind w:left="1009" w:hanging="1009"/>
      <w:jc w:val="both"/>
      <w:outlineLvl w:val="4"/>
    </w:pPr>
    <w:rPr>
      <w:rFonts w:asciiTheme="majorHAnsi" w:eastAsiaTheme="majorEastAsia" w:hAnsiTheme="majorHAnsi" w:cstheme="majorBidi"/>
      <w:color w:val="2F5496" w:themeColor="accent1" w:themeShade="BF"/>
      <w:kern w:val="0"/>
      <w14:ligatures w14:val="none"/>
    </w:rPr>
  </w:style>
  <w:style w:type="paragraph" w:styleId="Titre6">
    <w:name w:val="heading 6"/>
    <w:basedOn w:val="Normal"/>
    <w:next w:val="Normal"/>
    <w:link w:val="Titre6Car"/>
    <w:uiPriority w:val="9"/>
    <w:semiHidden/>
    <w:unhideWhenUsed/>
    <w:qFormat/>
    <w:rsid w:val="009A65C4"/>
    <w:pPr>
      <w:keepNext/>
      <w:keepLines/>
      <w:numPr>
        <w:ilvl w:val="5"/>
        <w:numId w:val="1"/>
      </w:numPr>
      <w:spacing w:before="40" w:after="0"/>
      <w:jc w:val="both"/>
      <w:outlineLvl w:val="5"/>
    </w:pPr>
    <w:rPr>
      <w:rFonts w:asciiTheme="majorHAnsi" w:eastAsiaTheme="majorEastAsia" w:hAnsiTheme="majorHAnsi" w:cstheme="majorBidi"/>
      <w:color w:val="1F3763" w:themeColor="accent1" w:themeShade="7F"/>
      <w:kern w:val="0"/>
      <w:sz w:val="20"/>
      <w14:ligatures w14:val="none"/>
    </w:rPr>
  </w:style>
  <w:style w:type="paragraph" w:styleId="Titre7">
    <w:name w:val="heading 7"/>
    <w:basedOn w:val="Normal"/>
    <w:next w:val="Normal"/>
    <w:link w:val="Titre7Car"/>
    <w:uiPriority w:val="9"/>
    <w:semiHidden/>
    <w:unhideWhenUsed/>
    <w:qFormat/>
    <w:rsid w:val="009A65C4"/>
    <w:pPr>
      <w:keepNext/>
      <w:keepLines/>
      <w:numPr>
        <w:ilvl w:val="6"/>
        <w:numId w:val="1"/>
      </w:numPr>
      <w:spacing w:before="40" w:after="0"/>
      <w:jc w:val="both"/>
      <w:outlineLvl w:val="6"/>
    </w:pPr>
    <w:rPr>
      <w:rFonts w:asciiTheme="majorHAnsi" w:eastAsiaTheme="majorEastAsia" w:hAnsiTheme="majorHAnsi" w:cstheme="majorBidi"/>
      <w:i/>
      <w:iCs/>
      <w:color w:val="1F3763" w:themeColor="accent1" w:themeShade="7F"/>
      <w:kern w:val="0"/>
      <w:sz w:val="20"/>
      <w14:ligatures w14:val="none"/>
    </w:rPr>
  </w:style>
  <w:style w:type="paragraph" w:styleId="Titre8">
    <w:name w:val="heading 8"/>
    <w:basedOn w:val="Normal"/>
    <w:next w:val="Normal"/>
    <w:link w:val="Titre8Car"/>
    <w:uiPriority w:val="9"/>
    <w:semiHidden/>
    <w:unhideWhenUsed/>
    <w:qFormat/>
    <w:rsid w:val="009A65C4"/>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kern w:val="0"/>
      <w:sz w:val="21"/>
      <w:szCs w:val="21"/>
      <w14:ligatures w14:val="none"/>
    </w:rPr>
  </w:style>
  <w:style w:type="paragraph" w:styleId="Titre9">
    <w:name w:val="heading 9"/>
    <w:basedOn w:val="Normal"/>
    <w:next w:val="Normal"/>
    <w:link w:val="Titre9Car"/>
    <w:uiPriority w:val="9"/>
    <w:semiHidden/>
    <w:unhideWhenUsed/>
    <w:qFormat/>
    <w:rsid w:val="009A65C4"/>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54D3"/>
    <w:rPr>
      <w:color w:val="0563C1" w:themeColor="hyperlink"/>
      <w:u w:val="single"/>
    </w:rPr>
  </w:style>
  <w:style w:type="character" w:styleId="Mentionnonrsolue">
    <w:name w:val="Unresolved Mention"/>
    <w:basedOn w:val="Policepardfaut"/>
    <w:uiPriority w:val="99"/>
    <w:semiHidden/>
    <w:unhideWhenUsed/>
    <w:rsid w:val="000D54D3"/>
    <w:rPr>
      <w:color w:val="605E5C"/>
      <w:shd w:val="clear" w:color="auto" w:fill="E1DFDD"/>
    </w:rPr>
  </w:style>
  <w:style w:type="paragraph" w:styleId="Rvision">
    <w:name w:val="Revision"/>
    <w:hidden/>
    <w:uiPriority w:val="99"/>
    <w:semiHidden/>
    <w:rsid w:val="0052062E"/>
    <w:pPr>
      <w:spacing w:after="0" w:line="240" w:lineRule="auto"/>
    </w:pPr>
  </w:style>
  <w:style w:type="paragraph" w:styleId="NormalWeb">
    <w:name w:val="Normal (Web)"/>
    <w:basedOn w:val="Normal"/>
    <w:uiPriority w:val="99"/>
    <w:semiHidden/>
    <w:unhideWhenUsed/>
    <w:rsid w:val="005975D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975D7"/>
    <w:rPr>
      <w:b/>
      <w:bCs/>
    </w:rPr>
  </w:style>
  <w:style w:type="character" w:styleId="Accentuation">
    <w:name w:val="Emphasis"/>
    <w:basedOn w:val="Policepardfaut"/>
    <w:uiPriority w:val="20"/>
    <w:qFormat/>
    <w:rsid w:val="005975D7"/>
    <w:rPr>
      <w:i/>
      <w:iCs/>
    </w:rPr>
  </w:style>
  <w:style w:type="character" w:customStyle="1" w:styleId="Titre1Car">
    <w:name w:val="Titre 1 Car"/>
    <w:aliases w:val="Titre premier niveau Car"/>
    <w:basedOn w:val="Policepardfaut"/>
    <w:link w:val="Titre1"/>
    <w:uiPriority w:val="9"/>
    <w:rsid w:val="009A65C4"/>
    <w:rPr>
      <w:rFonts w:ascii="Arial" w:eastAsiaTheme="majorEastAsia" w:hAnsi="Arial" w:cs="Times New Roman"/>
      <w:b/>
      <w:bCs/>
      <w:color w:val="425B74"/>
      <w:kern w:val="0"/>
      <w:sz w:val="28"/>
      <w:szCs w:val="28"/>
      <w14:textFill>
        <w14:solidFill>
          <w14:srgbClr w14:val="425B74">
            <w14:lumMod w14:val="50000"/>
          </w14:srgbClr>
        </w14:solidFill>
      </w14:textFill>
      <w14:ligatures w14:val="none"/>
    </w:rPr>
  </w:style>
  <w:style w:type="character" w:customStyle="1" w:styleId="Titre2Car">
    <w:name w:val="Titre 2 Car"/>
    <w:basedOn w:val="Policepardfaut"/>
    <w:link w:val="Titre2"/>
    <w:uiPriority w:val="9"/>
    <w:rsid w:val="009A65C4"/>
    <w:rPr>
      <w:rFonts w:ascii="Arial Gras" w:eastAsiaTheme="majorEastAsia" w:hAnsi="Arial Gras" w:cs="Times New Roman"/>
      <w:b/>
      <w:color w:val="4472C4" w:themeColor="accent1"/>
      <w:kern w:val="0"/>
      <w:sz w:val="24"/>
      <w:szCs w:val="24"/>
      <w14:ligatures w14:val="none"/>
    </w:rPr>
  </w:style>
  <w:style w:type="character" w:customStyle="1" w:styleId="Titre3Car">
    <w:name w:val="Titre 3 Car"/>
    <w:basedOn w:val="Policepardfaut"/>
    <w:link w:val="Titre3"/>
    <w:uiPriority w:val="9"/>
    <w:rsid w:val="009A65C4"/>
    <w:rPr>
      <w:rFonts w:ascii="Arial Gras" w:eastAsiaTheme="majorEastAsia" w:hAnsi="Arial Gras" w:cstheme="majorBidi"/>
      <w:b/>
      <w:color w:val="4472C4" w:themeColor="accent1"/>
      <w:kern w:val="0"/>
      <w14:ligatures w14:val="none"/>
    </w:rPr>
  </w:style>
  <w:style w:type="character" w:customStyle="1" w:styleId="Titre4Car">
    <w:name w:val="Titre 4 Car"/>
    <w:basedOn w:val="Policepardfaut"/>
    <w:link w:val="Titre4"/>
    <w:uiPriority w:val="9"/>
    <w:rsid w:val="009A65C4"/>
    <w:rPr>
      <w:rFonts w:ascii="Arial" w:hAnsi="Arial" w:cs="Arial"/>
      <w:b/>
      <w:bCs/>
      <w:color w:val="4472C4" w:themeColor="accent1"/>
      <w:kern w:val="0"/>
      <w:sz w:val="20"/>
      <w:szCs w:val="20"/>
      <w14:scene3d>
        <w14:camera w14:prst="orthographicFront"/>
        <w14:lightRig w14:rig="threePt" w14:dir="t">
          <w14:rot w14:lat="0" w14:lon="0" w14:rev="0"/>
        </w14:lightRig>
      </w14:scene3d>
      <w14:ligatures w14:val="none"/>
    </w:rPr>
  </w:style>
  <w:style w:type="character" w:customStyle="1" w:styleId="Titre5Car">
    <w:name w:val="Titre 5 Car"/>
    <w:basedOn w:val="Policepardfaut"/>
    <w:link w:val="Titre5"/>
    <w:uiPriority w:val="9"/>
    <w:rsid w:val="009A65C4"/>
    <w:rPr>
      <w:rFonts w:asciiTheme="majorHAnsi" w:eastAsiaTheme="majorEastAsia" w:hAnsiTheme="majorHAnsi" w:cstheme="majorBidi"/>
      <w:color w:val="2F5496" w:themeColor="accent1" w:themeShade="BF"/>
      <w:kern w:val="0"/>
      <w14:ligatures w14:val="none"/>
    </w:rPr>
  </w:style>
  <w:style w:type="character" w:customStyle="1" w:styleId="Titre6Car">
    <w:name w:val="Titre 6 Car"/>
    <w:basedOn w:val="Policepardfaut"/>
    <w:link w:val="Titre6"/>
    <w:uiPriority w:val="9"/>
    <w:semiHidden/>
    <w:rsid w:val="009A65C4"/>
    <w:rPr>
      <w:rFonts w:asciiTheme="majorHAnsi" w:eastAsiaTheme="majorEastAsia" w:hAnsiTheme="majorHAnsi" w:cstheme="majorBidi"/>
      <w:color w:val="1F3763" w:themeColor="accent1" w:themeShade="7F"/>
      <w:kern w:val="0"/>
      <w:sz w:val="20"/>
      <w14:ligatures w14:val="none"/>
    </w:rPr>
  </w:style>
  <w:style w:type="character" w:customStyle="1" w:styleId="Titre7Car">
    <w:name w:val="Titre 7 Car"/>
    <w:basedOn w:val="Policepardfaut"/>
    <w:link w:val="Titre7"/>
    <w:uiPriority w:val="9"/>
    <w:semiHidden/>
    <w:rsid w:val="009A65C4"/>
    <w:rPr>
      <w:rFonts w:asciiTheme="majorHAnsi" w:eastAsiaTheme="majorEastAsia" w:hAnsiTheme="majorHAnsi" w:cstheme="majorBidi"/>
      <w:i/>
      <w:iCs/>
      <w:color w:val="1F3763" w:themeColor="accent1" w:themeShade="7F"/>
      <w:kern w:val="0"/>
      <w:sz w:val="20"/>
      <w14:ligatures w14:val="none"/>
    </w:rPr>
  </w:style>
  <w:style w:type="character" w:customStyle="1" w:styleId="Titre8Car">
    <w:name w:val="Titre 8 Car"/>
    <w:basedOn w:val="Policepardfaut"/>
    <w:link w:val="Titre8"/>
    <w:uiPriority w:val="9"/>
    <w:semiHidden/>
    <w:rsid w:val="009A65C4"/>
    <w:rPr>
      <w:rFonts w:asciiTheme="majorHAnsi" w:eastAsiaTheme="majorEastAsia" w:hAnsiTheme="majorHAnsi" w:cstheme="majorBidi"/>
      <w:color w:val="272727" w:themeColor="text1" w:themeTint="D8"/>
      <w:kern w:val="0"/>
      <w:sz w:val="21"/>
      <w:szCs w:val="21"/>
      <w14:ligatures w14:val="none"/>
    </w:rPr>
  </w:style>
  <w:style w:type="character" w:customStyle="1" w:styleId="Titre9Car">
    <w:name w:val="Titre 9 Car"/>
    <w:basedOn w:val="Policepardfaut"/>
    <w:link w:val="Titre9"/>
    <w:uiPriority w:val="9"/>
    <w:semiHidden/>
    <w:rsid w:val="009A65C4"/>
    <w:rPr>
      <w:rFonts w:asciiTheme="majorHAnsi" w:eastAsiaTheme="majorEastAsia" w:hAnsiTheme="majorHAnsi" w:cstheme="majorBidi"/>
      <w:i/>
      <w:iCs/>
      <w:color w:val="272727" w:themeColor="text1" w:themeTint="D8"/>
      <w:kern w:val="0"/>
      <w:sz w:val="21"/>
      <w:szCs w:val="21"/>
      <w14:ligatures w14:val="none"/>
    </w:rPr>
  </w:style>
  <w:style w:type="paragraph" w:styleId="Paragraphedeliste">
    <w:name w:val="List Paragraph"/>
    <w:aliases w:val="PBM ART,ANNEXE,Paragraph,Normal bullet 2,Paragraphe EI,EC,List Paragraph_Sections,Listeafsnit,Dot pt,List Paragraph1,Colorful List - Accent 11,No Spacing1,List Paragraph Char Char Char,Indicator Text,Numbered Para 1,Bullet 1"/>
    <w:basedOn w:val="Normal"/>
    <w:link w:val="ParagraphedelisteCar"/>
    <w:uiPriority w:val="34"/>
    <w:qFormat/>
    <w:rsid w:val="009A65C4"/>
    <w:pPr>
      <w:spacing w:before="120" w:after="120"/>
      <w:ind w:left="720"/>
      <w:contextualSpacing/>
      <w:jc w:val="both"/>
    </w:pPr>
    <w:rPr>
      <w:rFonts w:ascii="Arial" w:hAnsi="Arial"/>
      <w:kern w:val="0"/>
      <w:sz w:val="20"/>
      <w14:ligatures w14:val="none"/>
    </w:rPr>
  </w:style>
  <w:style w:type="character" w:customStyle="1" w:styleId="ParagraphedelisteCar">
    <w:name w:val="Paragraphe de liste Car"/>
    <w:aliases w:val="PBM ART Car,ANNEXE Car,Paragraph Car,Normal bullet 2 Car,Paragraphe EI Car,EC Car,List Paragraph_Sections Car,Listeafsnit Car,Dot pt Car,List Paragraph1 Car,Colorful List - Accent 11 Car,No Spacing1 Car,Indicator Text Car"/>
    <w:basedOn w:val="Policepardfaut"/>
    <w:link w:val="Paragraphedeliste"/>
    <w:uiPriority w:val="34"/>
    <w:qFormat/>
    <w:rsid w:val="009A65C4"/>
    <w:rPr>
      <w:rFonts w:ascii="Arial" w:hAnsi="Arial"/>
      <w:kern w:val="0"/>
      <w:sz w:val="20"/>
      <w14:ligatures w14:val="none"/>
    </w:rPr>
  </w:style>
  <w:style w:type="paragraph" w:styleId="En-tte">
    <w:name w:val="header"/>
    <w:basedOn w:val="Normal"/>
    <w:link w:val="En-tteCar"/>
    <w:uiPriority w:val="99"/>
    <w:unhideWhenUsed/>
    <w:rsid w:val="00856F50"/>
    <w:pPr>
      <w:tabs>
        <w:tab w:val="center" w:pos="4536"/>
        <w:tab w:val="right" w:pos="9072"/>
      </w:tabs>
      <w:spacing w:after="0" w:line="240" w:lineRule="auto"/>
    </w:pPr>
  </w:style>
  <w:style w:type="character" w:customStyle="1" w:styleId="En-tteCar">
    <w:name w:val="En-tête Car"/>
    <w:basedOn w:val="Policepardfaut"/>
    <w:link w:val="En-tte"/>
    <w:uiPriority w:val="99"/>
    <w:rsid w:val="00856F50"/>
  </w:style>
  <w:style w:type="paragraph" w:styleId="Pieddepage">
    <w:name w:val="footer"/>
    <w:basedOn w:val="Normal"/>
    <w:link w:val="PieddepageCar"/>
    <w:uiPriority w:val="99"/>
    <w:unhideWhenUsed/>
    <w:rsid w:val="00856F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F50"/>
  </w:style>
  <w:style w:type="table" w:styleId="Grilledutableau">
    <w:name w:val="Table Grid"/>
    <w:basedOn w:val="TableauNormal"/>
    <w:uiPriority w:val="39"/>
    <w:rsid w:val="0006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502">
      <w:bodyDiv w:val="1"/>
      <w:marLeft w:val="0"/>
      <w:marRight w:val="0"/>
      <w:marTop w:val="0"/>
      <w:marBottom w:val="0"/>
      <w:divBdr>
        <w:top w:val="none" w:sz="0" w:space="0" w:color="auto"/>
        <w:left w:val="none" w:sz="0" w:space="0" w:color="auto"/>
        <w:bottom w:val="none" w:sz="0" w:space="0" w:color="auto"/>
        <w:right w:val="none" w:sz="0" w:space="0" w:color="auto"/>
      </w:divBdr>
    </w:div>
    <w:div w:id="1266421960">
      <w:bodyDiv w:val="1"/>
      <w:marLeft w:val="0"/>
      <w:marRight w:val="0"/>
      <w:marTop w:val="0"/>
      <w:marBottom w:val="0"/>
      <w:divBdr>
        <w:top w:val="none" w:sz="0" w:space="0" w:color="auto"/>
        <w:left w:val="none" w:sz="0" w:space="0" w:color="auto"/>
        <w:bottom w:val="none" w:sz="0" w:space="0" w:color="auto"/>
        <w:right w:val="none" w:sz="0" w:space="0" w:color="auto"/>
      </w:divBdr>
    </w:div>
    <w:div w:id="19556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 A U D E ! 1 0 7 1 4 2 2 6 . 2 < / d o c u m e n t i d >  
     < s e n d e r i d > F C O U H A D O N < / s e n d e r i d >  
     < s e n d e r e m a i l > F C O U H A D O N @ D G F L A . C O M < / s e n d e r e m a i l >  
     < l a s t m o d i f i e d > 2 0 2 3 - 1 1 - 1 0 T 1 0 : 1 6 : 0 0 . 0 0 0 0 0 0 0 + 0 1 : 0 0 < / l a s t m o d i f i e d >  
     < d a t a b a s e > A U D E < / d a t a b a s e >  
 < / p r o p e r t i e s > 
</file>

<file path=docProps/app.xml><?xml version="1.0" encoding="utf-8"?>
<Properties xmlns="http://schemas.openxmlformats.org/officeDocument/2006/extended-properties" xmlns:vt="http://schemas.openxmlformats.org/officeDocument/2006/docPropsVTypes">
  <Template>Normal.dotm</Template>
  <TotalTime>71</TotalTime>
  <Pages>5</Pages>
  <Words>1807</Words>
  <Characters>9943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Boulmé</dc:creator>
  <cp:keywords/>
  <dc:description/>
  <cp:lastModifiedBy>DGFLA</cp:lastModifiedBy>
  <cp:revision>4</cp:revision>
  <dcterms:created xsi:type="dcterms:W3CDTF">2023-11-10T08:04:00Z</dcterms:created>
  <dcterms:modified xsi:type="dcterms:W3CDTF">2023-11-10T09:16:00Z</dcterms:modified>
</cp:coreProperties>
</file>